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numbering.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9.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31.png" ContentType="image/png"/>
  <Override PartName="/word/media/image7.jpeg" ContentType="image/jpeg"/>
  <Override PartName="/word/media/image8.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png" ContentType="image/png"/>
  <Override PartName="/word/media/hdphoto1.wdp" ContentType="image/vnd.ms-photo"/>
  <Override PartName="/word/media/image19.jpeg" ContentType="image/jpeg"/>
  <Override PartName="/word/media/image20.jpeg" ContentType="image/jpeg"/>
  <Override PartName="/word/media/image21.jpeg" ContentType="image/jpeg"/>
  <Override PartName="/word/media/image22.jpeg" ContentType="image/jpeg"/>
  <Override PartName="/word/media/image23.png" ContentType="image/png"/>
  <Override PartName="/word/media/image24.jpeg" ContentType="image/jpeg"/>
  <Override PartName="/word/media/image25.jpeg" ContentType="image/jpeg"/>
  <Override PartName="/word/media/image26.png" ContentType="image/png"/>
  <Override PartName="/word/media/image27.jpeg" ContentType="image/jpeg"/>
  <Override PartName="/word/media/image28.jpeg" ContentType="image/jpeg"/>
  <Override PartName="/word/media/image29.jpeg" ContentType="image/jpeg"/>
  <Override PartName="/word/media/image30.jpeg" ContentType="image/jpeg"/>
  <Override PartName="/word/media/image32.jpeg" ContentType="image/jpeg"/>
  <Override PartName="/word/media/image33.jpeg" ContentType="image/jpeg"/>
  <Override PartName="/word/media/image34.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jc w:val="center"/>
        <w:rPr/>
      </w:pPr>
      <w:r>
        <w:rPr/>
        <w:drawing>
          <wp:inline distT="0" distB="0" distL="0" distR="0">
            <wp:extent cx="2085975" cy="805180"/>
            <wp:effectExtent l="0" t="0" r="0" b="0"/>
            <wp:docPr id="1" name="Obraz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
                    <pic:cNvPicPr>
                      <a:picLocks noChangeAspect="1" noChangeArrowheads="1"/>
                    </pic:cNvPicPr>
                  </pic:nvPicPr>
                  <pic:blipFill>
                    <a:blip r:embed="rId2"/>
                    <a:stretch>
                      <a:fillRect/>
                    </a:stretch>
                  </pic:blipFill>
                  <pic:spPr bwMode="auto">
                    <a:xfrm>
                      <a:off x="0" y="0"/>
                      <a:ext cx="2085975" cy="805180"/>
                    </a:xfrm>
                    <a:prstGeom prst="rect">
                      <a:avLst/>
                    </a:prstGeom>
                  </pic:spPr>
                </pic:pic>
              </a:graphicData>
            </a:graphic>
          </wp:inline>
        </w:drawing>
      </w:r>
    </w:p>
    <w:p>
      <w:pPr>
        <w:pStyle w:val="NoSpacing"/>
        <w:jc w:val="center"/>
        <w:rPr>
          <w:b/>
          <w:b/>
          <w:bCs/>
        </w:rPr>
      </w:pPr>
      <w:r>
        <w:rPr>
          <w:b/>
          <w:bCs/>
        </w:rPr>
        <w:t>MANUÁL energeticky úsporné oběhové čerpadlo</w:t>
      </w:r>
    </w:p>
    <w:p>
      <w:pPr>
        <w:pStyle w:val="NoSpacing"/>
        <w:jc w:val="center"/>
        <w:rPr/>
      </w:pPr>
      <w:r>
        <w:rPr>
          <w:b/>
          <w:sz w:val="36"/>
          <w:szCs w:val="36"/>
        </w:rPr>
        <w:t>BETA 2</w:t>
      </w:r>
    </w:p>
    <w:p>
      <w:pPr>
        <w:pStyle w:val="NoSpacing"/>
        <w:jc w:val="center"/>
        <w:rPr/>
      </w:pPr>
      <w:r>
        <w:rPr/>
      </w:r>
    </w:p>
    <w:p>
      <w:pPr>
        <w:pStyle w:val="NoSpacing"/>
        <w:jc w:val="center"/>
        <w:rPr/>
      </w:pPr>
      <w:r>
        <w:rPr/>
        <w:drawing>
          <wp:inline distT="0" distB="0" distL="19050" distR="0">
            <wp:extent cx="1245870" cy="1394460"/>
            <wp:effectExtent l="0" t="0" r="0" b="0"/>
            <wp:docPr id="2" name="Obraz 26" descr="Beta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6" descr="Beta 2-2.JPG"/>
                    <pic:cNvPicPr>
                      <a:picLocks noChangeAspect="1" noChangeArrowheads="1"/>
                    </pic:cNvPicPr>
                  </pic:nvPicPr>
                  <pic:blipFill>
                    <a:blip r:embed="rId3"/>
                    <a:stretch>
                      <a:fillRect/>
                    </a:stretch>
                  </pic:blipFill>
                  <pic:spPr bwMode="auto">
                    <a:xfrm>
                      <a:off x="0" y="0"/>
                      <a:ext cx="1245870" cy="1394460"/>
                    </a:xfrm>
                    <a:prstGeom prst="rect">
                      <a:avLst/>
                    </a:prstGeom>
                  </pic:spPr>
                </pic:pic>
              </a:graphicData>
            </a:graphic>
          </wp:inline>
        </w:drawing>
      </w:r>
      <w:r>
        <w:drawing>
          <wp:anchor behindDoc="0" distT="0" distB="9525" distL="114300" distR="114300" simplePos="0" locked="0" layoutInCell="1" allowOverlap="1" relativeHeight="8">
            <wp:simplePos x="0" y="0"/>
            <wp:positionH relativeFrom="column">
              <wp:posOffset>3162300</wp:posOffset>
            </wp:positionH>
            <wp:positionV relativeFrom="paragraph">
              <wp:posOffset>100330</wp:posOffset>
            </wp:positionV>
            <wp:extent cx="747395" cy="1019175"/>
            <wp:effectExtent l="0" t="0" r="0" b="0"/>
            <wp:wrapTight wrapText="bothSides">
              <wp:wrapPolygon edited="0">
                <wp:start x="-129" y="0"/>
                <wp:lineTo x="-129" y="21271"/>
                <wp:lineTo x="20904" y="21271"/>
                <wp:lineTo x="20904" y="0"/>
                <wp:lineTo x="-129" y="0"/>
              </wp:wrapPolygon>
            </wp:wrapTight>
            <wp:docPr id="3" name="Obraz 10" descr="klasyfikacja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10" descr="klasyfikacja A"/>
                    <pic:cNvPicPr>
                      <a:picLocks noChangeAspect="1" noChangeArrowheads="1"/>
                    </pic:cNvPicPr>
                  </pic:nvPicPr>
                  <pic:blipFill>
                    <a:blip r:embed="rId4"/>
                    <a:stretch>
                      <a:fillRect/>
                    </a:stretch>
                  </pic:blipFill>
                  <pic:spPr bwMode="auto">
                    <a:xfrm>
                      <a:off x="0" y="0"/>
                      <a:ext cx="747395" cy="1019175"/>
                    </a:xfrm>
                    <a:prstGeom prst="rect">
                      <a:avLst/>
                    </a:prstGeom>
                  </pic:spPr>
                </pic:pic>
              </a:graphicData>
            </a:graphic>
          </wp:anchor>
        </w:drawing>
      </w:r>
      <w:r>
        <w:rPr/>
        <w:t xml:space="preserve"> </w:t>
      </w:r>
    </w:p>
    <w:p>
      <w:pPr>
        <w:pStyle w:val="NoSpacing"/>
        <w:rPr/>
      </w:pPr>
      <w:r>
        <w:rPr/>
        <w:tab/>
        <w:tab/>
        <w:tab/>
        <w:tab/>
        <w:tab/>
        <w:tab/>
        <w:t xml:space="preserve"> </w:t>
      </w:r>
      <w:r>
        <w:rPr/>
        <w:drawing>
          <wp:inline distT="0" distB="9525" distL="0" distR="0">
            <wp:extent cx="252095" cy="238760"/>
            <wp:effectExtent l="0" t="0" r="0" b="0"/>
            <wp:docPr id="4" name="Obraz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3" descr=""/>
                    <pic:cNvPicPr>
                      <a:picLocks noChangeAspect="1" noChangeArrowheads="1"/>
                    </pic:cNvPicPr>
                  </pic:nvPicPr>
                  <pic:blipFill>
                    <a:blip r:embed="rId5"/>
                    <a:stretch>
                      <a:fillRect/>
                    </a:stretch>
                  </pic:blipFill>
                  <pic:spPr bwMode="auto">
                    <a:xfrm>
                      <a:off x="0" y="0"/>
                      <a:ext cx="252095" cy="238760"/>
                    </a:xfrm>
                    <a:prstGeom prst="rect">
                      <a:avLst/>
                    </a:prstGeom>
                  </pic:spPr>
                </pic:pic>
              </a:graphicData>
            </a:graphic>
          </wp:inline>
        </w:drawing>
      </w:r>
      <w:r>
        <w:rPr/>
        <w:t xml:space="preserve"> </w:t>
      </w:r>
      <w:r>
        <w:rPr/>
        <w:t>E</w:t>
      </w:r>
      <w:r>
        <w:rPr/>
        <w:t>EI≤0,23</w:t>
      </w:r>
    </w:p>
    <w:p>
      <w:pPr>
        <w:pStyle w:val="NoSpacing"/>
        <w:jc w:val="both"/>
        <w:rPr>
          <w:u w:val="single"/>
        </w:rPr>
      </w:pPr>
      <w:r>
        <w:rPr>
          <w:u w:val="single"/>
        </w:rPr>
        <w:t>Opatření pro použití řady čerpadlo Beta 2</w:t>
      </w:r>
    </w:p>
    <w:p>
      <w:pPr>
        <w:pStyle w:val="NoSpacing"/>
        <w:numPr>
          <w:ilvl w:val="0"/>
          <w:numId w:val="1"/>
        </w:numPr>
        <w:jc w:val="both"/>
        <w:rPr/>
      </w:pPr>
      <w:r>
        <w:rPr/>
        <w:t>Před instalací si pečlivě přečtěte návod k obsluze</w:t>
      </w:r>
    </w:p>
    <w:p>
      <w:pPr>
        <w:pStyle w:val="NoSpacing"/>
        <w:numPr>
          <w:ilvl w:val="0"/>
          <w:numId w:val="1"/>
        </w:numPr>
        <w:jc w:val="both"/>
        <w:rPr/>
      </w:pPr>
      <w:r>
        <w:rPr/>
        <w:t>Selhání na obsah označené výstražnými značkami může způsobit zranění, poškození čerpadla nebo jiné hmotné škody, za které výrobce nenese odpovědnost zejména za škody.</w:t>
      </w:r>
    </w:p>
    <w:p>
      <w:pPr>
        <w:pStyle w:val="NoSpacing"/>
        <w:numPr>
          <w:ilvl w:val="0"/>
          <w:numId w:val="1"/>
        </w:numPr>
        <w:jc w:val="both"/>
        <w:rPr/>
      </w:pPr>
      <w:r>
        <w:rPr/>
        <w:t>Instalační program, údržba, a ty musí být v souladu s místními bezpečnostními předpisy.</w:t>
      </w:r>
    </w:p>
    <w:p>
      <w:pPr>
        <w:pStyle w:val="NoSpacing"/>
        <w:numPr>
          <w:ilvl w:val="0"/>
          <w:numId w:val="1"/>
        </w:numPr>
        <w:jc w:val="both"/>
        <w:rPr/>
      </w:pPr>
      <w:r>
        <w:rPr/>
        <w:t>Uživatel musí potvrdit, že instalace a údržby výrobku jsou prováděny pracovníky s odpovídajícími znalostmi a zkušenostmi v souvislosti s výstavbou a provozem vytápění.</w:t>
      </w:r>
    </w:p>
    <w:p>
      <w:pPr>
        <w:pStyle w:val="NoSpacing"/>
        <w:numPr>
          <w:ilvl w:val="0"/>
          <w:numId w:val="1"/>
        </w:numPr>
        <w:jc w:val="both"/>
        <w:rPr/>
      </w:pPr>
      <w:r>
        <w:rPr/>
        <w:t>Čerpadla nesmí být instalovány ve vlhkém prostředí nebo v místech, které by mohly být náchylné k povodním s stříkající vodě.</w:t>
      </w:r>
    </w:p>
    <w:p>
      <w:pPr>
        <w:pStyle w:val="NoSpacing"/>
        <w:numPr>
          <w:ilvl w:val="0"/>
          <w:numId w:val="1"/>
        </w:numPr>
        <w:jc w:val="both"/>
        <w:rPr/>
      </w:pPr>
      <w:r>
        <w:rPr/>
        <w:t>Pro usnadnění údržby, měli byste si dát každou stranu čerpadla kulového ventilu.</w:t>
      </w:r>
    </w:p>
    <w:p>
      <w:pPr>
        <w:pStyle w:val="NoSpacing"/>
        <w:numPr>
          <w:ilvl w:val="0"/>
          <w:numId w:val="1"/>
        </w:numPr>
        <w:jc w:val="both"/>
        <w:rPr/>
      </w:pPr>
      <w:r>
        <w:rPr/>
        <w:t>Během instalace a údržby, snížit dodávky elektrického proudu do čerpadla.</w:t>
      </w:r>
    </w:p>
    <w:p>
      <w:pPr>
        <w:pStyle w:val="NoSpacing"/>
        <w:numPr>
          <w:ilvl w:val="0"/>
          <w:numId w:val="1"/>
        </w:numPr>
        <w:jc w:val="both"/>
        <w:rPr/>
      </w:pPr>
      <w:r>
        <w:rPr/>
        <w:t>CO obvod by neměl být doplňován často nejsou změkčené vody, aby se zabránilo usazování vápníku v potrubí. Velké nahromadění vápenatých usazenin mohou blokovat zařízení rotoru.</w:t>
      </w:r>
    </w:p>
    <w:p>
      <w:pPr>
        <w:pStyle w:val="NoSpacing"/>
        <w:numPr>
          <w:ilvl w:val="0"/>
          <w:numId w:val="1"/>
        </w:numPr>
        <w:jc w:val="both"/>
        <w:rPr/>
      </w:pPr>
      <w:r>
        <w:rPr/>
        <w:t>Je zakázáno spuštění čerpadla „na sucho“ bez teplonosné médium.</w:t>
      </w:r>
    </w:p>
    <w:p>
      <w:pPr>
        <w:pStyle w:val="NoSpacing"/>
        <w:numPr>
          <w:ilvl w:val="0"/>
          <w:numId w:val="1"/>
        </w:numPr>
        <w:jc w:val="both"/>
        <w:rPr/>
      </w:pPr>
      <w:r>
        <w:rPr/>
        <w:t>Při demontáži potrubí čerpadla, aby se zabránilo možným popáleninám topným médiem před vyjmutím nebo prosím vypustit zahřívání kulových kohoutů nebo vypnutí čerpadla. Upozorňujeme, že topné médium může mít vysokou teplotu a tlak.</w:t>
      </w:r>
    </w:p>
    <w:p>
      <w:pPr>
        <w:pStyle w:val="NoSpacing"/>
        <w:numPr>
          <w:ilvl w:val="0"/>
          <w:numId w:val="1"/>
        </w:numPr>
        <w:jc w:val="both"/>
        <w:rPr/>
      </w:pPr>
      <w:r>
        <w:rPr/>
        <w:t>Při vyjímání čerpadla z řádku být opatrný topné médium, které mohou být za vysoké teploty a tlaku. Demontáž čerpadla může způsobit chladivo vytékat ven. Prosím, dejte pozor, abyste způsobit zranění nebo popáleniny v důsledku ne zaplavit další zařízení.</w:t>
      </w:r>
    </w:p>
    <w:p>
      <w:pPr>
        <w:pStyle w:val="NoSpacing"/>
        <w:numPr>
          <w:ilvl w:val="0"/>
          <w:numId w:val="1"/>
        </w:numPr>
        <w:jc w:val="both"/>
        <w:rPr/>
      </w:pPr>
      <w:r>
        <w:rPr/>
        <w:t>V letním období, nebo když je okolní teplota příliš vysoká, dbát na řádné větrání v místnosti, kde je nainstalován čerpadlo. To pomůže zabránit kondenzaci vlhkosti, která může způsobit elektrickou závadu.</w:t>
      </w:r>
    </w:p>
    <w:p>
      <w:pPr>
        <w:pStyle w:val="NoSpacing"/>
        <w:numPr>
          <w:ilvl w:val="0"/>
          <w:numId w:val="1"/>
        </w:numPr>
        <w:jc w:val="both"/>
        <w:rPr/>
      </w:pPr>
      <w:r>
        <w:rPr/>
        <w:t>V zimě, kdy je systém nainstalován, CO, kde je čerpadlo není v chodu a je okolní teplota nižší než 0 ° C, musí být topný systém vyprázdněn vody. Mějte na paměti, že zmrazení těla vodní čerpadlo může explodovat.</w:t>
      </w:r>
    </w:p>
    <w:p>
      <w:pPr>
        <w:pStyle w:val="NoSpacing"/>
        <w:numPr>
          <w:ilvl w:val="0"/>
          <w:numId w:val="1"/>
        </w:numPr>
        <w:jc w:val="both"/>
        <w:rPr/>
      </w:pPr>
      <w:r>
        <w:rPr/>
        <w:t xml:space="preserve">V případě, že čerpadlo nebude pracovat po delší dobu, uzavřete čerpadlem uzavírací kulové kohouty a přerušil napájení. </w:t>
      </w:r>
    </w:p>
    <w:p>
      <w:pPr>
        <w:pStyle w:val="NoSpacing"/>
        <w:numPr>
          <w:ilvl w:val="0"/>
          <w:numId w:val="1"/>
        </w:numPr>
        <w:jc w:val="both"/>
        <w:rPr/>
      </w:pPr>
      <w:r>
        <w:rPr/>
        <w:t>Je-li kabel poškozen elektrický posilovač sestavy čerpadla na autorizované servisní středisko o výměnu s přepínačem.</w:t>
      </w:r>
    </w:p>
    <w:p>
      <w:pPr>
        <w:pStyle w:val="NoSpacing"/>
        <w:numPr>
          <w:ilvl w:val="0"/>
          <w:numId w:val="1"/>
        </w:numPr>
        <w:jc w:val="both"/>
        <w:rPr/>
      </w:pPr>
      <w:r>
        <w:rPr/>
        <w:t>V případě, že motor čerpadla se příliš silně zahřívá (více než normální) Vypněte čerpadlo okamžitě se současnými uzavíracími ventily a obraťte se na servis.</w:t>
      </w:r>
    </w:p>
    <w:p>
      <w:pPr>
        <w:pStyle w:val="NoSpacing"/>
        <w:numPr>
          <w:ilvl w:val="0"/>
          <w:numId w:val="1"/>
        </w:numPr>
        <w:jc w:val="both"/>
        <w:rPr/>
      </w:pPr>
      <w:r>
        <w:rPr/>
        <w:t>V případě selhání čerpadla nemůže být odstraněna, jak je popsáno v návodu, měli byste okamžitě vypnout čerpadlo od sítě, čerpadla uzavíracími ventily, jinak okamžitě kontaktujte svého místního prodejce nebo servisní středisko.</w:t>
      </w:r>
    </w:p>
    <w:p>
      <w:pPr>
        <w:pStyle w:val="NoSpacing"/>
        <w:numPr>
          <w:ilvl w:val="0"/>
          <w:numId w:val="1"/>
        </w:numPr>
        <w:jc w:val="both"/>
        <w:rPr/>
      </w:pPr>
      <w:r>
        <w:rPr/>
        <w:t>V</w:t>
      </w:r>
      <w:r>
        <w:rPr/>
        <w:t>ýrobek by měl být umístěn mimo dosah dětí, a opatření by měla být přijata izolačního výrobku, aby se zabránilo dojemné děti.</w:t>
      </w:r>
    </w:p>
    <w:p>
      <w:pPr>
        <w:pStyle w:val="NoSpacing"/>
        <w:numPr>
          <w:ilvl w:val="0"/>
          <w:numId w:val="1"/>
        </w:numPr>
        <w:jc w:val="both"/>
        <w:rPr/>
      </w:pPr>
      <w:r>
        <w:rPr/>
        <w:t>V</w:t>
      </w:r>
      <w:r>
        <w:rPr/>
        <w:t>ýrobek musí být zapojen do fungující elektrické uzemnění. Žluto-zelená žíla přívodního kabelu je uzemnění.</w:t>
      </w:r>
    </w:p>
    <w:p>
      <w:pPr>
        <w:pStyle w:val="NoSpacing"/>
        <w:numPr>
          <w:ilvl w:val="0"/>
          <w:numId w:val="1"/>
        </w:numPr>
        <w:jc w:val="both"/>
        <w:rPr/>
      </w:pPr>
      <w:r>
        <w:rPr/>
        <w:t>V</w:t>
      </w:r>
      <w:r>
        <w:rPr/>
        <w:t>ýrobek musí být připojen k síti vybaveného zbytkového proudu vypínacího proudu ΔIn ne vyšší než 30 mA.</w:t>
      </w:r>
    </w:p>
    <w:p>
      <w:pPr>
        <w:pStyle w:val="NoSpacing"/>
        <w:numPr>
          <w:ilvl w:val="0"/>
          <w:numId w:val="1"/>
        </w:numPr>
        <w:jc w:val="both"/>
        <w:rPr/>
      </w:pPr>
      <w:r>
        <w:rPr/>
        <w:t>Umístěte výrobek na suchém a chladném, dobře větraném místě, a skladovány při pokojové teplotě.</w:t>
      </w:r>
    </w:p>
    <w:p>
      <w:pPr>
        <w:pStyle w:val="NoSpacing"/>
        <w:numPr>
          <w:ilvl w:val="0"/>
          <w:numId w:val="1"/>
        </w:numPr>
        <w:jc w:val="both"/>
        <w:rPr/>
      </w:pPr>
      <w:r>
        <w:rPr/>
        <w:t>Tento spotřebič není určen pro použití osobami (včetně dětí) se sníženými fyzickými, smyslovými nebo duševními schopnostmi, nebo nedostatkem zkušeností a znalostí, pokud jim nebyl poskytnut dohled nebo instrukce týkající se použití přístroje osobou odpovědnou za jejich bezpečnost. Dávejte pozor na děti, aby si s přístrojem hrály.</w:t>
      </w:r>
    </w:p>
    <w:p>
      <w:pPr>
        <w:pStyle w:val="NoSpacing"/>
        <w:ind w:left="993" w:hanging="0"/>
        <w:jc w:val="both"/>
        <w:rPr/>
      </w:pPr>
      <w:r>
        <w:rPr/>
        <w:drawing>
          <wp:anchor behindDoc="1" distT="0" distB="0" distL="0" distR="0" simplePos="0" locked="0" layoutInCell="1" allowOverlap="1" relativeHeight="3">
            <wp:simplePos x="0" y="0"/>
            <wp:positionH relativeFrom="column">
              <wp:posOffset>229235</wp:posOffset>
            </wp:positionH>
            <wp:positionV relativeFrom="paragraph">
              <wp:posOffset>-1905</wp:posOffset>
            </wp:positionV>
            <wp:extent cx="329565" cy="292735"/>
            <wp:effectExtent l="0" t="0" r="0" b="0"/>
            <wp:wrapNone/>
            <wp:docPr id="5" name="Obraz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4" descr=""/>
                    <pic:cNvPicPr>
                      <a:picLocks noChangeAspect="1" noChangeArrowheads="1"/>
                    </pic:cNvPicPr>
                  </pic:nvPicPr>
                  <pic:blipFill>
                    <a:blip r:embed="rId6"/>
                    <a:stretch>
                      <a:fillRect/>
                    </a:stretch>
                  </pic:blipFill>
                  <pic:spPr bwMode="auto">
                    <a:xfrm>
                      <a:off x="0" y="0"/>
                      <a:ext cx="329565" cy="292735"/>
                    </a:xfrm>
                    <a:prstGeom prst="rect">
                      <a:avLst/>
                    </a:prstGeom>
                  </pic:spPr>
                </pic:pic>
              </a:graphicData>
            </a:graphic>
          </wp:anchor>
        </w:drawing>
      </w:r>
    </w:p>
    <w:p>
      <w:pPr>
        <w:pStyle w:val="NoSpacing"/>
        <w:ind w:left="993" w:hanging="0"/>
        <w:jc w:val="both"/>
        <w:rPr/>
      </w:pPr>
      <w:r>
        <w:rPr/>
        <w:t>POZOR !!!!</w:t>
      </w:r>
    </w:p>
    <w:p>
      <w:pPr>
        <w:pStyle w:val="NoSpacing"/>
        <w:ind w:left="993" w:hanging="0"/>
        <w:jc w:val="both"/>
        <w:rPr/>
      </w:pPr>
      <w:r>
        <w:rPr/>
        <w:t>Před zahájením instalace, měli byste si pečlivě přečíst návod k instalaci a návod k použití. Instalace a provoz musí být v souladu s místními předpisy a v souladu s následujícími pokyny.</w:t>
      </w:r>
    </w:p>
    <w:p>
      <w:pPr>
        <w:pStyle w:val="NoSpacing"/>
        <w:ind w:left="993" w:hanging="0"/>
        <w:jc w:val="both"/>
        <w:rPr/>
      </w:pPr>
      <w:r>
        <w:rPr/>
      </w:r>
    </w:p>
    <w:p>
      <w:pPr>
        <w:pStyle w:val="NoSpacing"/>
        <w:ind w:left="993" w:hanging="0"/>
        <w:jc w:val="both"/>
        <w:rPr/>
      </w:pPr>
      <w:r>
        <w:drawing>
          <wp:anchor behindDoc="0" distT="0" distB="0" distL="0" distR="0" simplePos="0" locked="0" layoutInCell="1" allowOverlap="1" relativeHeight="4">
            <wp:simplePos x="0" y="0"/>
            <wp:positionH relativeFrom="column">
              <wp:posOffset>271780</wp:posOffset>
            </wp:positionH>
            <wp:positionV relativeFrom="paragraph">
              <wp:posOffset>-1270</wp:posOffset>
            </wp:positionV>
            <wp:extent cx="329565" cy="292735"/>
            <wp:effectExtent l="0" t="0" r="0" b="0"/>
            <wp:wrapNone/>
            <wp:docPr id="6" name="Obraz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5" descr=""/>
                    <pic:cNvPicPr>
                      <a:picLocks noChangeAspect="1" noChangeArrowheads="1"/>
                    </pic:cNvPicPr>
                  </pic:nvPicPr>
                  <pic:blipFill>
                    <a:blip r:embed="rId7"/>
                    <a:stretch>
                      <a:fillRect/>
                    </a:stretch>
                  </pic:blipFill>
                  <pic:spPr bwMode="auto">
                    <a:xfrm>
                      <a:off x="0" y="0"/>
                      <a:ext cx="329565" cy="292735"/>
                    </a:xfrm>
                    <a:prstGeom prst="rect">
                      <a:avLst/>
                    </a:prstGeom>
                  </pic:spPr>
                </pic:pic>
              </a:graphicData>
            </a:graphic>
          </wp:anchor>
        </w:drawing>
      </w:r>
      <w:r>
        <w:rPr/>
        <w:t>P</w:t>
      </w:r>
      <w:r>
        <w:rPr/>
        <w:t>OZOR !!!!</w:t>
      </w:r>
    </w:p>
    <w:p>
      <w:pPr>
        <w:pStyle w:val="NoSpacing"/>
        <w:ind w:left="993" w:hanging="0"/>
        <w:jc w:val="both"/>
        <w:rPr/>
      </w:pPr>
      <w:r>
        <w:rPr/>
        <w:t>Osob (včetně dětí) se sníženými fyzickými, smyslovými nebo duševními schopnostmi, nebo nedostatkem zkušeností a znalostí by měl použít čerpadlo pod dohledem a vedením lidí, kteří mohou převzít odpovědnost za jejich bezpečnost.</w:t>
      </w:r>
    </w:p>
    <w:p>
      <w:pPr>
        <w:pStyle w:val="NoSpacing"/>
        <w:ind w:left="993" w:hanging="0"/>
        <w:jc w:val="both"/>
        <w:rPr/>
      </w:pPr>
      <w:r>
        <w:rPr/>
      </w:r>
    </w:p>
    <w:p>
      <w:pPr>
        <w:pStyle w:val="NoSpacing"/>
        <w:numPr>
          <w:ilvl w:val="0"/>
          <w:numId w:val="2"/>
        </w:numPr>
        <w:ind w:left="426" w:hanging="0"/>
        <w:jc w:val="both"/>
        <w:rPr>
          <w:b/>
          <w:b/>
        </w:rPr>
      </w:pPr>
      <w:r>
        <w:rPr>
          <w:b/>
        </w:rPr>
        <w:t>Symboly používané v této příručce</w:t>
      </w:r>
    </w:p>
    <w:p>
      <w:pPr>
        <w:pStyle w:val="NoSpacing"/>
        <w:ind w:left="993" w:hanging="567"/>
        <w:jc w:val="both"/>
        <w:rPr/>
      </w:pPr>
      <w:r>
        <w:rPr/>
        <w:drawing>
          <wp:inline distT="0" distB="0" distL="0" distR="0">
            <wp:extent cx="329565" cy="292735"/>
            <wp:effectExtent l="0" t="0" r="0" b="0"/>
            <wp:docPr id="7" name="Obraz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6" descr=""/>
                    <pic:cNvPicPr>
                      <a:picLocks noChangeAspect="1" noChangeArrowheads="1"/>
                    </pic:cNvPicPr>
                  </pic:nvPicPr>
                  <pic:blipFill>
                    <a:blip r:embed="rId8"/>
                    <a:stretch>
                      <a:fillRect/>
                    </a:stretch>
                  </pic:blipFill>
                  <pic:spPr bwMode="auto">
                    <a:xfrm>
                      <a:off x="0" y="0"/>
                      <a:ext cx="329565" cy="292735"/>
                    </a:xfrm>
                    <a:prstGeom prst="rect">
                      <a:avLst/>
                    </a:prstGeom>
                  </pic:spPr>
                </pic:pic>
              </a:graphicData>
            </a:graphic>
          </wp:inline>
        </w:drawing>
      </w:r>
      <w:r>
        <w:rPr/>
        <w:t xml:space="preserve"> </w:t>
      </w:r>
      <w:r>
        <w:rPr/>
        <w:t>Upozornění: Při takto označena doporučení, které by mohly mít za následek zranění!</w:t>
      </w:r>
    </w:p>
    <w:p>
      <w:pPr>
        <w:pStyle w:val="NoSpacing"/>
        <w:ind w:left="993" w:hanging="567"/>
        <w:jc w:val="both"/>
        <w:rPr/>
      </w:pPr>
      <w:r>
        <w:rPr/>
      </w:r>
    </w:p>
    <w:p>
      <w:pPr>
        <w:pStyle w:val="NoSpacing"/>
        <w:ind w:left="993" w:hanging="567"/>
        <w:jc w:val="both"/>
        <w:rPr/>
      </w:pPr>
      <w:r>
        <w:rPr/>
        <w:drawing>
          <wp:inline distT="0" distB="8890" distL="0" distR="0">
            <wp:extent cx="329565" cy="125095"/>
            <wp:effectExtent l="0" t="0" r="0" b="0"/>
            <wp:docPr id="8" name="Obraz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7" descr=""/>
                    <pic:cNvPicPr>
                      <a:picLocks noChangeAspect="1" noChangeArrowheads="1"/>
                    </pic:cNvPicPr>
                  </pic:nvPicPr>
                  <pic:blipFill>
                    <a:blip r:embed="rId9"/>
                    <a:stretch>
                      <a:fillRect/>
                    </a:stretch>
                  </pic:blipFill>
                  <pic:spPr bwMode="auto">
                    <a:xfrm>
                      <a:off x="0" y="0"/>
                      <a:ext cx="329565" cy="125095"/>
                    </a:xfrm>
                    <a:prstGeom prst="rect">
                      <a:avLst/>
                    </a:prstGeom>
                  </pic:spPr>
                </pic:pic>
              </a:graphicData>
            </a:graphic>
          </wp:inline>
        </w:drawing>
      </w:r>
      <w:r>
        <w:rPr/>
        <w:t xml:space="preserve"> </w:t>
      </w:r>
      <w:r>
        <w:rPr/>
        <w:t>Nedodržení pokynů označených, takže může dojít k poškození zařízení!</w:t>
      </w:r>
    </w:p>
    <w:p>
      <w:pPr>
        <w:pStyle w:val="NoSpacing"/>
        <w:ind w:left="993" w:hanging="567"/>
        <w:jc w:val="both"/>
        <w:rPr/>
      </w:pPr>
      <w:r>
        <w:rPr/>
      </w:r>
    </w:p>
    <w:p>
      <w:pPr>
        <w:pStyle w:val="NoSpacing"/>
        <w:ind w:left="993" w:hanging="567"/>
        <w:jc w:val="both"/>
        <w:rPr/>
      </w:pPr>
      <w:r>
        <w:rPr/>
        <w:drawing>
          <wp:inline distT="0" distB="0" distL="0" distR="0">
            <wp:extent cx="326390" cy="121920"/>
            <wp:effectExtent l="0" t="0" r="0" b="0"/>
            <wp:docPr id="9" name="Obraz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8" descr=""/>
                    <pic:cNvPicPr>
                      <a:picLocks noChangeAspect="1" noChangeArrowheads="1"/>
                    </pic:cNvPicPr>
                  </pic:nvPicPr>
                  <pic:blipFill>
                    <a:blip r:embed="rId10"/>
                    <a:stretch>
                      <a:fillRect/>
                    </a:stretch>
                  </pic:blipFill>
                  <pic:spPr bwMode="auto">
                    <a:xfrm>
                      <a:off x="0" y="0"/>
                      <a:ext cx="326390" cy="121920"/>
                    </a:xfrm>
                    <a:prstGeom prst="rect">
                      <a:avLst/>
                    </a:prstGeom>
                  </pic:spPr>
                </pic:pic>
              </a:graphicData>
            </a:graphic>
          </wp:inline>
        </w:drawing>
      </w:r>
      <w:r>
        <w:rPr/>
        <w:t xml:space="preserve"> </w:t>
      </w:r>
      <w:r>
        <w:rPr/>
        <w:t>Poznámky nebo pokyny, které usnadňují práci a zajišťují bezpečnost provozu.</w:t>
      </w:r>
    </w:p>
    <w:p>
      <w:pPr>
        <w:pStyle w:val="NoSpacing"/>
        <w:numPr>
          <w:ilvl w:val="0"/>
          <w:numId w:val="3"/>
        </w:numPr>
        <w:ind w:left="360" w:hanging="218"/>
        <w:jc w:val="both"/>
        <w:rPr>
          <w:b/>
          <w:b/>
        </w:rPr>
      </w:pPr>
      <w:r>
        <w:rPr>
          <w:b/>
        </w:rPr>
        <w:t>PŘEHLED</w:t>
      </w:r>
    </w:p>
    <w:p>
      <w:pPr>
        <w:pStyle w:val="NoSpacing"/>
        <w:numPr>
          <w:ilvl w:val="1"/>
          <w:numId w:val="3"/>
        </w:numPr>
        <w:ind w:left="792" w:hanging="366"/>
        <w:rPr/>
      </w:pPr>
      <w:r>
        <w:rPr/>
        <w:t>oběhová čerpadla série série Beta 2 se používá hlavně k cirkulaci vody v kotli CO obytných prostorách.</w:t>
      </w:r>
    </w:p>
    <w:p>
      <w:pPr>
        <w:pStyle w:val="NoSpacing"/>
        <w:ind w:left="792" w:hanging="0"/>
        <w:rPr/>
      </w:pPr>
      <w:r>
        <w:rPr>
          <w:rFonts w:eastAsia="Times New Roman" w:cs="Times New Roman"/>
          <w:lang w:eastAsia="pl-PL"/>
        </w:rPr>
        <w:t xml:space="preserve">Oběhové čerpadlo série BETA 2 se nejlépe hodí pro následující systémy: </w:t>
      </w:r>
    </w:p>
    <w:p>
      <w:pPr>
        <w:pStyle w:val="NoSpacing"/>
        <w:ind w:left="792" w:hanging="0"/>
        <w:rPr/>
      </w:pPr>
      <w:r>
        <w:rPr>
          <w:rFonts w:eastAsia="Times New Roman" w:cs="Times New Roman"/>
          <w:lang w:eastAsia="pl-PL"/>
        </w:rPr>
        <w:t xml:space="preserve">• </w:t>
      </w:r>
      <w:r>
        <w:rPr>
          <w:rFonts w:eastAsia="Times New Roman" w:cs="Times New Roman"/>
          <w:lang w:eastAsia="pl-PL"/>
        </w:rPr>
        <w:t xml:space="preserve">systém Stałotemperaturowy, s proměnným průtokem </w:t>
      </w:r>
    </w:p>
    <w:p>
      <w:pPr>
        <w:pStyle w:val="NoSpacing"/>
        <w:ind w:left="792" w:hanging="0"/>
        <w:rPr/>
      </w:pPr>
      <w:r>
        <w:rPr>
          <w:rFonts w:eastAsia="Times New Roman" w:cs="Times New Roman"/>
          <w:lang w:eastAsia="pl-PL"/>
        </w:rPr>
        <w:t xml:space="preserve">• </w:t>
      </w:r>
      <w:r>
        <w:rPr>
          <w:rFonts w:eastAsia="Times New Roman" w:cs="Times New Roman"/>
          <w:lang w:eastAsia="pl-PL"/>
        </w:rPr>
        <w:t xml:space="preserve">Topný systém s variabilní topné teplota systému </w:t>
      </w:r>
    </w:p>
    <w:p>
      <w:pPr>
        <w:pStyle w:val="NoSpacing"/>
        <w:ind w:left="792" w:hanging="0"/>
        <w:rPr/>
      </w:pPr>
      <w:r>
        <w:rPr>
          <w:rFonts w:eastAsia="Times New Roman" w:cs="Times New Roman"/>
          <w:lang w:eastAsia="pl-PL"/>
        </w:rPr>
        <w:t xml:space="preserve">• </w:t>
      </w:r>
      <w:r>
        <w:rPr>
          <w:rFonts w:eastAsia="Times New Roman" w:cs="Times New Roman"/>
          <w:lang w:eastAsia="pl-PL"/>
        </w:rPr>
        <w:t xml:space="preserve">režim potrubí noc </w:t>
      </w:r>
    </w:p>
    <w:p>
      <w:pPr>
        <w:pStyle w:val="NoSpacing"/>
        <w:ind w:left="792" w:hanging="0"/>
        <w:rPr/>
      </w:pPr>
      <w:r>
        <w:rPr>
          <w:rFonts w:eastAsia="Times New Roman" w:cs="Times New Roman"/>
          <w:lang w:eastAsia="pl-PL"/>
        </w:rPr>
        <w:t xml:space="preserve">• </w:t>
      </w:r>
      <w:r>
        <w:rPr>
          <w:rFonts w:eastAsia="Times New Roman" w:cs="Times New Roman"/>
          <w:lang w:eastAsia="pl-PL"/>
        </w:rPr>
        <w:t xml:space="preserve">klimatizační oběhového systému systému, průmyslový systém </w:t>
      </w:r>
    </w:p>
    <w:p>
      <w:pPr>
        <w:pStyle w:val="NoSpacing"/>
        <w:ind w:left="792" w:hanging="0"/>
        <w:rPr>
          <w:rFonts w:eastAsia="Times New Roman" w:cs="Times New Roman"/>
          <w:lang w:eastAsia="pl-PL"/>
        </w:rPr>
      </w:pPr>
      <w:r>
        <w:rPr>
          <w:rFonts w:eastAsia="Times New Roman" w:cs="Times New Roman"/>
          <w:lang w:eastAsia="pl-PL"/>
        </w:rPr>
        <w:t xml:space="preserve">• </w:t>
      </w:r>
      <w:r>
        <w:rPr>
          <w:rFonts w:eastAsia="Times New Roman" w:cs="Times New Roman"/>
          <w:lang w:eastAsia="pl-PL"/>
        </w:rPr>
        <w:t>CO spotřebičů a domácí horkovodní systém</w:t>
      </w:r>
    </w:p>
    <w:p>
      <w:pPr>
        <w:pStyle w:val="NoSpacing"/>
        <w:ind w:left="792"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br/>
      </w:r>
      <w:r>
        <w:rPr/>
        <w:br/>
      </w:r>
      <w:r>
        <mc:AlternateContent>
          <mc:Choice Requires="wps">
            <w:drawing>
              <wp:anchor behindDoc="0" distT="0" distB="0" distL="114300" distR="114300" simplePos="0" locked="0" layoutInCell="1" allowOverlap="1" relativeHeight="5">
                <wp:simplePos x="0" y="0"/>
                <wp:positionH relativeFrom="column">
                  <wp:posOffset>557530</wp:posOffset>
                </wp:positionH>
                <wp:positionV relativeFrom="paragraph">
                  <wp:posOffset>83820</wp:posOffset>
                </wp:positionV>
                <wp:extent cx="4048125" cy="1443990"/>
                <wp:effectExtent l="0" t="0" r="0" b="0"/>
                <wp:wrapNone/>
                <wp:docPr id="10" name="Ramka1"/>
                <a:graphic xmlns:a="http://schemas.openxmlformats.org/drawingml/2006/main">
                  <a:graphicData uri="http://schemas.microsoft.com/office/word/2010/wordprocessingShape">
                    <wps:wsp>
                      <wps:cNvSpPr txBox="1"/>
                      <wps:spPr>
                        <a:xfrm>
                          <a:off x="0" y="0"/>
                          <a:ext cx="4048125" cy="1443990"/>
                        </a:xfrm>
                        <a:prstGeom prst="rect"/>
                        <a:solidFill>
                          <a:srgbClr val="FFFFFF"/>
                        </a:solidFill>
                        <a:ln w="635">
                          <a:solidFill>
                            <a:srgbClr val="000000"/>
                          </a:solidFill>
                        </a:ln>
                      </wps:spPr>
                      <wps:txbx>
                        <w:txbxContent>
                          <w:p>
                            <w:pPr>
                              <w:pStyle w:val="Zawartoramki"/>
                              <w:spacing w:before="0" w:after="200"/>
                              <w:rPr/>
                            </w:pPr>
                            <w:r>
                              <w:rPr/>
                              <w:t>Oběhové čerpadlo řady Beta 2 je vybaven motor s permanentními magnety a diferenční regulátor tlaku, který automaticky a neustále upravit kapacitu čerpadla pro splnění aktuálních potřeb systému. Oběhové čerpadlo BTEA Series 2 je vybaven ovládacím panelu na straně motoru, což usnadňuje manipulaci s uživatelem, zejména odvzdušnění.</w:t>
                            </w:r>
                          </w:p>
                        </w:txbxContent>
                      </wps:txbx>
                      <wps:bodyPr anchor="t" lIns="91440" tIns="45720" rIns="91440" bIns="45720">
                        <a:noAutofit/>
                      </wps:bodyPr>
                    </wps:wsp>
                  </a:graphicData>
                </a:graphic>
              </wp:anchor>
            </w:drawing>
          </mc:Choice>
          <mc:Fallback>
            <w:pict>
              <v:rect fillcolor="#FFFFFF" strokecolor="#000000" strokeweight="0pt" style="position:absolute;rotation:0;width:318.75pt;height:113.7pt;mso-wrap-distance-left:9pt;mso-wrap-distance-right:9pt;mso-wrap-distance-top:0pt;mso-wrap-distance-bottom:0pt;margin-top:6.6pt;mso-position-vertical-relative:text;margin-left:43.9pt;mso-position-horizontal-relative:text">
                <v:textbox>
                  <w:txbxContent>
                    <w:p>
                      <w:pPr>
                        <w:pStyle w:val="Zawartoramki"/>
                        <w:spacing w:before="0" w:after="200"/>
                        <w:rPr/>
                      </w:pPr>
                      <w:r>
                        <w:rPr/>
                        <w:t>Oběhové čerpadlo řady Beta 2 je vybaven motor s permanentními magnety a diferenční regulátor tlaku, který automaticky a neustále upravit kapacitu čerpadla pro splnění aktuálních potřeb systému. Oběhové čerpadlo BTEA Series 2 je vybaven ovládacím panelu na straně motoru, což usnadňuje manipulaci s uživatelem, zejména odvzdušnění.</w:t>
                      </w:r>
                    </w:p>
                  </w:txbxContent>
                </v:textbox>
              </v:rect>
            </w:pict>
          </mc:Fallback>
        </mc:AlternateContent>
      </w:r>
    </w:p>
    <w:p>
      <w:pPr>
        <w:pStyle w:val="NoSpacing"/>
        <w:jc w:val="both"/>
        <w:rPr/>
      </w:pPr>
      <w:r>
        <w:rPr/>
      </w:r>
    </w:p>
    <w:p>
      <w:pPr>
        <w:pStyle w:val="ListParagraph"/>
        <w:numPr>
          <w:ilvl w:val="0"/>
          <w:numId w:val="3"/>
        </w:numPr>
        <w:spacing w:lineRule="auto" w:line="240" w:before="0" w:after="0"/>
        <w:jc w:val="both"/>
        <w:rPr>
          <w:vanish/>
        </w:rPr>
      </w:pPr>
      <w:r>
        <w:rPr>
          <w:vanish/>
        </w:rPr>
      </w:r>
    </w:p>
    <w:p>
      <w:pPr>
        <w:pStyle w:val="NoSpacing"/>
        <w:ind w:left="792" w:hanging="0"/>
        <w:jc w:val="both"/>
        <w:rPr/>
      </w:pPr>
      <w:r>
        <w:rPr/>
      </w:r>
    </w:p>
    <w:p>
      <w:pPr>
        <w:pStyle w:val="NoSpacing"/>
        <w:ind w:left="792" w:hanging="0"/>
        <w:jc w:val="both"/>
        <w:rPr/>
      </w:pPr>
      <w:r>
        <w:rPr/>
      </w:r>
    </w:p>
    <w:p>
      <w:pPr>
        <w:pStyle w:val="NoSpacing"/>
        <w:ind w:left="792" w:hanging="0"/>
        <w:jc w:val="both"/>
        <w:rPr/>
      </w:pPr>
      <w:r>
        <w:rPr/>
      </w:r>
    </w:p>
    <w:p>
      <w:pPr>
        <w:pStyle w:val="NoSpacing"/>
        <w:ind w:left="792" w:hanging="366"/>
        <w:rPr/>
      </w:pPr>
      <w:r>
        <w:rPr/>
      </w:r>
    </w:p>
    <w:p>
      <w:pPr>
        <w:pStyle w:val="NoSpacing"/>
        <w:ind w:left="792" w:hanging="366"/>
        <w:rPr/>
      </w:pPr>
      <w:r>
        <w:rPr/>
        <w:br/>
        <w:t>2.2. Výhody instalace čerpadla beta 2. Snadná instalace a uvedení do provozu</w:t>
      </w:r>
    </w:p>
    <w:p>
      <w:pPr>
        <w:pStyle w:val="NoSpacing"/>
        <w:ind w:left="792" w:hanging="366"/>
        <w:rPr/>
      </w:pPr>
      <w:r>
        <w:rPr/>
      </w:r>
    </w:p>
    <w:p>
      <w:pPr>
        <w:pStyle w:val="NoSpacing"/>
        <w:numPr>
          <w:ilvl w:val="2"/>
          <w:numId w:val="4"/>
        </w:numPr>
        <w:jc w:val="both"/>
        <w:rPr/>
      </w:pPr>
      <w:r>
        <w:rPr>
          <w:rFonts w:eastAsia="Times New Roman" w:cs="Times New Roman"/>
          <w:lang w:eastAsia="pl-PL"/>
        </w:rPr>
        <w:t>Oběhové čerpadlo série BETA 2 má autoadaptacyjny režim AUTO / ECO (tovární nastavení). Ve většině případů, můžete spustit čerpadlo, aniž by bylo nutné provádět žádné úpravy a automaticky upravit tak, aby aktuálních potřeb systému.</w:t>
      </w:r>
    </w:p>
    <w:p>
      <w:pPr>
        <w:pStyle w:val="NoSpacing"/>
        <w:numPr>
          <w:ilvl w:val="2"/>
          <w:numId w:val="4"/>
        </w:numPr>
        <w:rPr/>
      </w:pPr>
      <w:r>
        <w:rPr>
          <w:rFonts w:eastAsia="Times New Roman" w:cs="Times New Roman"/>
          <w:lang w:eastAsia="pl-PL"/>
        </w:rPr>
        <w:t>vysoký komfort</w:t>
      </w:r>
    </w:p>
    <w:p>
      <w:pPr>
        <w:pStyle w:val="NoSpacing"/>
        <w:numPr>
          <w:ilvl w:val="2"/>
          <w:numId w:val="4"/>
        </w:numPr>
        <w:rPr/>
      </w:pPr>
      <w:r>
        <w:rPr>
          <w:rFonts w:eastAsia="Times New Roman" w:cs="Times New Roman"/>
          <w:lang w:eastAsia="pl-PL"/>
        </w:rPr>
        <w:t>Nízká hlučnost čerpadla a celý systém.</w:t>
      </w:r>
    </w:p>
    <w:p>
      <w:pPr>
        <w:pStyle w:val="NoSpacing"/>
        <w:numPr>
          <w:ilvl w:val="2"/>
          <w:numId w:val="4"/>
        </w:numPr>
        <w:rPr/>
      </w:pPr>
      <w:r>
        <w:rPr>
          <w:rFonts w:eastAsia="Times New Roman" w:cs="Times New Roman"/>
          <w:lang w:eastAsia="pl-PL"/>
        </w:rPr>
        <w:t>Nízká spotřeba energie</w:t>
      </w:r>
    </w:p>
    <w:p>
      <w:pPr>
        <w:pStyle w:val="NoSpacing"/>
        <w:numPr>
          <w:ilvl w:val="2"/>
          <w:numId w:val="4"/>
        </w:numPr>
        <w:jc w:val="both"/>
        <w:rPr/>
      </w:pPr>
      <w:r>
        <w:rPr>
          <w:rFonts w:eastAsia="Times New Roman" w:cs="Times New Roman"/>
          <w:lang w:eastAsia="pl-PL"/>
        </w:rPr>
        <w:t>Ve srovnání s tradičními oběhovým čerpadlem, spotřeba energie ze série čerpadla Beta 2 je velmi nízká a může dosáhnout v závislosti na systému, a to i 5W.</w:t>
      </w:r>
    </w:p>
    <w:p>
      <w:pPr>
        <w:pStyle w:val="NoSpacing"/>
        <w:ind w:left="1080" w:hanging="0"/>
        <w:rPr/>
      </w:pPr>
      <w:r>
        <w:rPr/>
      </w:r>
    </w:p>
    <w:p>
      <w:pPr>
        <w:pStyle w:val="NoSpacing"/>
        <w:numPr>
          <w:ilvl w:val="0"/>
          <w:numId w:val="5"/>
        </w:numPr>
        <w:ind w:left="1211" w:hanging="218"/>
        <w:rPr>
          <w:b/>
          <w:b/>
        </w:rPr>
      </w:pPr>
      <w:r>
        <w:rPr>
          <w:rFonts w:eastAsia="Times New Roman" w:cs="Times New Roman"/>
          <w:b/>
          <w:lang w:eastAsia="pl-PL"/>
        </w:rPr>
        <w:t>Podmínky používání</w:t>
      </w:r>
    </w:p>
    <w:p>
      <w:pPr>
        <w:pStyle w:val="NoSpacing"/>
        <w:numPr>
          <w:ilvl w:val="1"/>
          <w:numId w:val="5"/>
        </w:numPr>
        <w:ind w:left="1000" w:hanging="366"/>
        <w:rPr/>
      </w:pPr>
      <w:r>
        <w:rPr/>
        <w:t>Přípustná okolní teplota 0 ° C až + 40 ° C,</w:t>
      </w:r>
    </w:p>
    <w:p>
      <w:pPr>
        <w:pStyle w:val="NoSpacing"/>
        <w:numPr>
          <w:ilvl w:val="1"/>
          <w:numId w:val="5"/>
        </w:numPr>
        <w:ind w:left="1000" w:hanging="366"/>
        <w:rPr/>
      </w:pPr>
      <w:r>
        <w:rPr/>
        <w:t>Maximální přípustná relativní vlhkosti (RH) 95%</w:t>
      </w:r>
    </w:p>
    <w:p>
      <w:pPr>
        <w:pStyle w:val="NoSpacing"/>
        <w:numPr>
          <w:ilvl w:val="1"/>
          <w:numId w:val="5"/>
        </w:numPr>
        <w:ind w:left="1000" w:hanging="366"/>
        <w:jc w:val="both"/>
        <w:rPr/>
      </w:pPr>
      <w:r>
        <w:rPr/>
        <w:t>Přípustná teplota topného média + 2 ℃ ~ 95 ℃. Aby se zabránilo kondenzaci vodní páry na ovládacím panelu a statorem, musí být teplota teplonosného média čerpána čerpadlem vždy vyšší, než je okolní teplota.</w:t>
      </w:r>
    </w:p>
    <w:p>
      <w:pPr>
        <w:pStyle w:val="NoSpacing"/>
        <w:numPr>
          <w:ilvl w:val="1"/>
          <w:numId w:val="5"/>
        </w:numPr>
        <w:ind w:left="1000" w:hanging="366"/>
        <w:rPr/>
      </w:pPr>
      <w:r>
        <w:rPr/>
        <w:t>Přípustný maximální tlak systému je 1,0 MPa (10 bar)</w:t>
      </w:r>
    </w:p>
    <w:p>
      <w:pPr>
        <w:pStyle w:val="NoSpacing"/>
        <w:numPr>
          <w:ilvl w:val="1"/>
          <w:numId w:val="5"/>
        </w:numPr>
        <w:ind w:left="1000" w:hanging="366"/>
        <w:rPr/>
      </w:pPr>
      <w:r>
        <w:rPr/>
        <w:t>Stupeň krytí IP 44</w:t>
      </w:r>
    </w:p>
    <w:p>
      <w:pPr>
        <w:pStyle w:val="NoSpacing"/>
        <w:numPr>
          <w:ilvl w:val="1"/>
          <w:numId w:val="5"/>
        </w:numPr>
        <w:ind w:left="1000" w:hanging="366"/>
        <w:rPr/>
      </w:pPr>
      <w:r>
        <w:rPr/>
        <w:t>Tlak na vstupu do čerpadla</w:t>
      </w:r>
    </w:p>
    <w:p>
      <w:pPr>
        <w:pStyle w:val="NoSpacing"/>
        <w:ind w:left="792" w:hanging="0"/>
        <w:rPr/>
      </w:pPr>
      <w:r>
        <w:rPr/>
        <w:t>Aby se zabránilo poškození ložisek čerpadla způsobené kavitací na vstupu čerpadla, se následující minimální tlak:</w:t>
      </w:r>
    </w:p>
    <w:tbl>
      <w:tblPr>
        <w:tblStyle w:val="Tabela-Siatka"/>
        <w:tblW w:w="8248" w:type="dxa"/>
        <w:jc w:val="left"/>
        <w:tblInd w:w="792" w:type="dxa"/>
        <w:tblCellMar>
          <w:top w:w="0" w:type="dxa"/>
          <w:left w:w="108" w:type="dxa"/>
          <w:bottom w:w="0" w:type="dxa"/>
          <w:right w:w="108" w:type="dxa"/>
        </w:tblCellMar>
        <w:tblLook w:val="04a0"/>
      </w:tblPr>
      <w:tblGrid>
        <w:gridCol w:w="2124"/>
        <w:gridCol w:w="2125"/>
        <w:gridCol w:w="2125"/>
        <w:gridCol w:w="1873"/>
      </w:tblGrid>
      <w:tr>
        <w:trPr/>
        <w:tc>
          <w:tcPr>
            <w:tcW w:w="2124" w:type="dxa"/>
            <w:tcBorders/>
            <w:shd w:fill="auto" w:val="clear"/>
            <w:vAlign w:val="center"/>
          </w:tcPr>
          <w:p>
            <w:pPr>
              <w:pStyle w:val="NoSpacing"/>
              <w:spacing w:lineRule="auto" w:line="240" w:before="0" w:after="0"/>
              <w:jc w:val="center"/>
              <w:rPr>
                <w:sz w:val="16"/>
                <w:szCs w:val="16"/>
              </w:rPr>
            </w:pPr>
            <w:r>
              <w:rPr>
                <w:sz w:val="16"/>
                <w:szCs w:val="16"/>
              </w:rPr>
              <w:t>Teplota ohřevu [° C]</w:t>
            </w:r>
          </w:p>
        </w:tc>
        <w:tc>
          <w:tcPr>
            <w:tcW w:w="2125" w:type="dxa"/>
            <w:tcBorders/>
            <w:shd w:fill="auto" w:val="clear"/>
            <w:vAlign w:val="center"/>
          </w:tcPr>
          <w:p>
            <w:pPr>
              <w:pStyle w:val="NoSpacing"/>
              <w:spacing w:lineRule="auto" w:line="240" w:before="0" w:after="0"/>
              <w:jc w:val="center"/>
              <w:rPr>
                <w:sz w:val="16"/>
                <w:szCs w:val="16"/>
              </w:rPr>
            </w:pPr>
            <w:r>
              <w:rPr>
                <w:sz w:val="16"/>
                <w:szCs w:val="16"/>
              </w:rPr>
              <w:t>&lt;85 ℃</w:t>
            </w:r>
          </w:p>
        </w:tc>
        <w:tc>
          <w:tcPr>
            <w:tcW w:w="2125" w:type="dxa"/>
            <w:tcBorders/>
            <w:shd w:fill="auto" w:val="clear"/>
            <w:vAlign w:val="center"/>
          </w:tcPr>
          <w:p>
            <w:pPr>
              <w:pStyle w:val="NoSpacing"/>
              <w:spacing w:lineRule="auto" w:line="240" w:before="0" w:after="0"/>
              <w:jc w:val="center"/>
              <w:rPr>
                <w:sz w:val="16"/>
                <w:szCs w:val="16"/>
              </w:rPr>
            </w:pPr>
            <w:r>
              <w:rPr>
                <w:sz w:val="16"/>
                <w:szCs w:val="16"/>
              </w:rPr>
              <w:t>90 ℃</w:t>
            </w:r>
          </w:p>
        </w:tc>
        <w:tc>
          <w:tcPr>
            <w:tcW w:w="1873" w:type="dxa"/>
            <w:tcBorders/>
            <w:shd w:fill="auto" w:val="clear"/>
            <w:vAlign w:val="center"/>
          </w:tcPr>
          <w:p>
            <w:pPr>
              <w:pStyle w:val="NoSpacing"/>
              <w:spacing w:lineRule="auto" w:line="240" w:before="0" w:after="0"/>
              <w:jc w:val="center"/>
              <w:rPr>
                <w:sz w:val="16"/>
                <w:szCs w:val="16"/>
              </w:rPr>
            </w:pPr>
            <w:r>
              <w:rPr>
                <w:sz w:val="16"/>
                <w:szCs w:val="16"/>
              </w:rPr>
              <w:t>95 ℃</w:t>
            </w:r>
          </w:p>
        </w:tc>
      </w:tr>
      <w:tr>
        <w:trPr/>
        <w:tc>
          <w:tcPr>
            <w:tcW w:w="2124" w:type="dxa"/>
            <w:vMerge w:val="restart"/>
            <w:tcBorders/>
            <w:shd w:fill="auto" w:val="clear"/>
            <w:vAlign w:val="center"/>
          </w:tcPr>
          <w:p>
            <w:pPr>
              <w:pStyle w:val="NoSpacing"/>
              <w:spacing w:lineRule="auto" w:line="240" w:before="0" w:after="0"/>
              <w:jc w:val="center"/>
              <w:rPr>
                <w:sz w:val="16"/>
                <w:szCs w:val="16"/>
              </w:rPr>
            </w:pPr>
            <w:r>
              <w:rPr>
                <w:sz w:val="16"/>
                <w:szCs w:val="16"/>
              </w:rPr>
              <w:t>Minimální tlak</w:t>
            </w:r>
          </w:p>
        </w:tc>
        <w:tc>
          <w:tcPr>
            <w:tcW w:w="2125" w:type="dxa"/>
            <w:tcBorders/>
            <w:shd w:fill="auto" w:val="clear"/>
            <w:vAlign w:val="center"/>
          </w:tcPr>
          <w:p>
            <w:pPr>
              <w:pStyle w:val="NoSpacing"/>
              <w:spacing w:lineRule="auto" w:line="240" w:before="0" w:after="0"/>
              <w:jc w:val="center"/>
              <w:rPr>
                <w:sz w:val="16"/>
                <w:szCs w:val="16"/>
              </w:rPr>
            </w:pPr>
            <w:r>
              <w:rPr>
                <w:sz w:val="16"/>
                <w:szCs w:val="16"/>
              </w:rPr>
              <w:t>0.05bar</w:t>
            </w:r>
          </w:p>
        </w:tc>
        <w:tc>
          <w:tcPr>
            <w:tcW w:w="2125" w:type="dxa"/>
            <w:tcBorders/>
            <w:shd w:fill="auto" w:val="clear"/>
            <w:vAlign w:val="center"/>
          </w:tcPr>
          <w:p>
            <w:pPr>
              <w:pStyle w:val="NoSpacing"/>
              <w:spacing w:lineRule="auto" w:line="240" w:before="0" w:after="0"/>
              <w:jc w:val="center"/>
              <w:rPr>
                <w:sz w:val="16"/>
                <w:szCs w:val="16"/>
              </w:rPr>
            </w:pPr>
            <w:r>
              <w:rPr>
                <w:sz w:val="16"/>
                <w:szCs w:val="16"/>
              </w:rPr>
              <w:t>0.28bar</w:t>
            </w:r>
          </w:p>
        </w:tc>
        <w:tc>
          <w:tcPr>
            <w:tcW w:w="1873" w:type="dxa"/>
            <w:tcBorders/>
            <w:shd w:fill="auto" w:val="clear"/>
            <w:vAlign w:val="center"/>
          </w:tcPr>
          <w:p>
            <w:pPr>
              <w:pStyle w:val="NoSpacing"/>
              <w:spacing w:lineRule="auto" w:line="240" w:before="0" w:after="0"/>
              <w:jc w:val="center"/>
              <w:rPr>
                <w:sz w:val="16"/>
                <w:szCs w:val="16"/>
              </w:rPr>
            </w:pPr>
            <w:r>
              <w:rPr>
                <w:sz w:val="16"/>
                <w:szCs w:val="16"/>
              </w:rPr>
              <w:t>0,5 bar</w:t>
            </w:r>
          </w:p>
        </w:tc>
      </w:tr>
      <w:tr>
        <w:trPr/>
        <w:tc>
          <w:tcPr>
            <w:tcW w:w="2124" w:type="dxa"/>
            <w:vMerge w:val="continue"/>
            <w:tcBorders/>
            <w:shd w:fill="auto" w:val="clear"/>
          </w:tcPr>
          <w:p>
            <w:pPr>
              <w:pStyle w:val="NoSpacing"/>
              <w:spacing w:lineRule="auto" w:line="240" w:before="0" w:after="0"/>
              <w:rPr/>
            </w:pPr>
            <w:r>
              <w:rPr/>
            </w:r>
          </w:p>
        </w:tc>
        <w:tc>
          <w:tcPr>
            <w:tcW w:w="2125" w:type="dxa"/>
            <w:tcBorders/>
            <w:shd w:fill="auto" w:val="clear"/>
          </w:tcPr>
          <w:p>
            <w:pPr>
              <w:pStyle w:val="NoSpacing"/>
              <w:spacing w:lineRule="auto" w:line="240" w:before="0" w:after="0"/>
              <w:jc w:val="center"/>
              <w:rPr>
                <w:sz w:val="16"/>
                <w:szCs w:val="16"/>
              </w:rPr>
            </w:pPr>
            <w:r>
              <w:rPr>
                <w:sz w:val="16"/>
                <w:szCs w:val="16"/>
              </w:rPr>
              <w:t>0,5m sloupec H2O</w:t>
            </w:r>
          </w:p>
        </w:tc>
        <w:tc>
          <w:tcPr>
            <w:tcW w:w="2125" w:type="dxa"/>
            <w:tcBorders/>
            <w:shd w:fill="auto" w:val="clear"/>
          </w:tcPr>
          <w:p>
            <w:pPr>
              <w:pStyle w:val="NoSpacing"/>
              <w:spacing w:lineRule="auto" w:line="240" w:before="0" w:after="0"/>
              <w:jc w:val="center"/>
              <w:rPr>
                <w:sz w:val="16"/>
                <w:szCs w:val="16"/>
              </w:rPr>
            </w:pPr>
            <w:r>
              <w:rPr>
                <w:sz w:val="16"/>
                <w:szCs w:val="16"/>
              </w:rPr>
              <w:t>2,8m sloupec H2O</w:t>
            </w:r>
          </w:p>
        </w:tc>
        <w:tc>
          <w:tcPr>
            <w:tcW w:w="1873" w:type="dxa"/>
            <w:tcBorders/>
            <w:shd w:fill="auto" w:val="clear"/>
          </w:tcPr>
          <w:p>
            <w:pPr>
              <w:pStyle w:val="NoSpacing"/>
              <w:spacing w:lineRule="auto" w:line="240" w:before="0" w:after="0"/>
              <w:jc w:val="center"/>
              <w:rPr>
                <w:sz w:val="16"/>
                <w:szCs w:val="16"/>
              </w:rPr>
            </w:pPr>
            <w:r>
              <w:rPr>
                <w:sz w:val="16"/>
                <w:szCs w:val="16"/>
              </w:rPr>
              <w:t>5 m sloupec H2O</w:t>
            </w:r>
          </w:p>
        </w:tc>
      </w:tr>
    </w:tbl>
    <w:p>
      <w:pPr>
        <w:pStyle w:val="NoSpacing"/>
        <w:ind w:left="426" w:hanging="0"/>
        <w:rPr/>
      </w:pPr>
      <w:r>
        <w:rPr/>
      </w:r>
    </w:p>
    <w:p>
      <w:pPr>
        <w:pStyle w:val="NoSpacing"/>
        <w:numPr>
          <w:ilvl w:val="1"/>
          <w:numId w:val="5"/>
        </w:numPr>
        <w:ind w:left="1000" w:hanging="366"/>
        <w:rPr/>
      </w:pPr>
      <w:r>
        <w:rPr/>
        <w:t>topné médium</w:t>
      </w:r>
    </w:p>
    <w:p>
      <w:pPr>
        <w:pStyle w:val="NoSpacing"/>
        <w:tabs>
          <w:tab w:val="clear" w:pos="708"/>
          <w:tab w:val="left" w:pos="426" w:leader="none"/>
        </w:tabs>
        <w:ind w:left="792" w:hanging="0"/>
        <w:jc w:val="both"/>
        <w:rPr/>
      </w:pPr>
      <w:r>
        <w:rPr/>
        <w:t>Vzácné, čistý, nekorozívní a nevýbušná kapalina neobsahuje pevné částice, vlákna nebo minerální olej. Čerpadlo nelze použít pro dopravu hořlavé nebo výbušné kapaliny, jako je například rostlinný olej a benzín. Pokud je oběhové čerpadlo použít k čerpání kapalin vysokou viskozitu, výkon čerpadla je snížena. V tomto případě zvolte silnější čerpadlo získat parametry.</w:t>
      </w:r>
    </w:p>
    <w:p>
      <w:pPr>
        <w:pStyle w:val="NoSpacing"/>
        <w:tabs>
          <w:tab w:val="clear" w:pos="708"/>
          <w:tab w:val="left" w:pos="426" w:leader="none"/>
        </w:tabs>
        <w:ind w:left="792" w:hanging="0"/>
        <w:jc w:val="both"/>
        <w:rPr/>
      </w:pPr>
      <w:r>
        <w:rPr/>
      </w:r>
    </w:p>
    <w:p>
      <w:pPr>
        <w:pStyle w:val="NoSpacing"/>
        <w:numPr>
          <w:ilvl w:val="0"/>
          <w:numId w:val="5"/>
        </w:numPr>
        <w:jc w:val="both"/>
        <w:rPr>
          <w:b/>
          <w:b/>
        </w:rPr>
      </w:pPr>
      <w:r>
        <w:rPr>
          <w:b/>
        </w:rPr>
        <w:t>INSTALACE</w:t>
      </w:r>
    </w:p>
    <w:p>
      <w:pPr>
        <w:pStyle w:val="NoSpacing"/>
        <w:numPr>
          <w:ilvl w:val="1"/>
          <w:numId w:val="5"/>
        </w:numPr>
        <w:ind w:left="1000" w:hanging="366"/>
        <w:jc w:val="both"/>
        <w:rPr/>
      </w:pPr>
      <w:r>
        <w:rPr/>
        <w:t>Při instalaci dbejte na směr proudění topného média. Šipka na skříni čerpadla ukazuje směr proudění přes čerpadlo nucené. Tento směr musí být kompatibilní s chladícím okruhu v systému.</w:t>
      </w:r>
    </w:p>
    <w:p>
      <w:pPr>
        <w:pStyle w:val="NoSpacing"/>
        <w:ind w:left="1000" w:hanging="0"/>
        <w:jc w:val="both"/>
        <w:rPr/>
      </w:pPr>
      <w:r>
        <w:rPr/>
      </w:r>
    </w:p>
    <w:p>
      <w:pPr>
        <w:pStyle w:val="NoSpacing"/>
        <w:numPr>
          <w:ilvl w:val="1"/>
          <w:numId w:val="5"/>
        </w:numPr>
        <w:ind w:left="1000" w:hanging="366"/>
        <w:jc w:val="both"/>
        <w:rPr/>
      </w:pPr>
      <w:r>
        <w:rPr/>
        <w:t>Při instalaci použijte připojen k sadě sešroubovány s pryžovým těsněním</w:t>
      </w:r>
    </w:p>
    <w:p>
      <w:pPr>
        <w:pStyle w:val="ListParagraph"/>
        <w:rPr/>
      </w:pPr>
      <w:r>
        <w:rPr/>
      </w:r>
    </w:p>
    <w:p>
      <w:pPr>
        <w:pStyle w:val="NoSpacing"/>
        <w:ind w:left="1000" w:hanging="0"/>
        <w:jc w:val="both"/>
        <w:rPr/>
      </w:pPr>
      <w:r>
        <w:rPr/>
        <w:drawing>
          <wp:anchor behindDoc="1" distT="0" distB="0" distL="133350" distR="114300" simplePos="0" locked="0" layoutInCell="1" allowOverlap="1" relativeHeight="12">
            <wp:simplePos x="0" y="0"/>
            <wp:positionH relativeFrom="column">
              <wp:posOffset>3696970</wp:posOffset>
            </wp:positionH>
            <wp:positionV relativeFrom="paragraph">
              <wp:posOffset>-33020</wp:posOffset>
            </wp:positionV>
            <wp:extent cx="2556510" cy="1158240"/>
            <wp:effectExtent l="0" t="0" r="0" b="0"/>
            <wp:wrapSquare wrapText="bothSides"/>
            <wp:docPr id="11" name="Obraz 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 291" descr=""/>
                    <pic:cNvPicPr>
                      <a:picLocks noChangeAspect="1" noChangeArrowheads="1"/>
                    </pic:cNvPicPr>
                  </pic:nvPicPr>
                  <pic:blipFill>
                    <a:blip r:embed="rId11"/>
                    <a:stretch>
                      <a:fillRect/>
                    </a:stretch>
                  </pic:blipFill>
                  <pic:spPr bwMode="auto">
                    <a:xfrm>
                      <a:off x="0" y="0"/>
                      <a:ext cx="2556510" cy="1158240"/>
                    </a:xfrm>
                    <a:prstGeom prst="rect">
                      <a:avLst/>
                    </a:prstGeom>
                  </pic:spPr>
                </pic:pic>
              </a:graphicData>
            </a:graphic>
          </wp:anchor>
        </w:drawing>
      </w:r>
    </w:p>
    <w:p>
      <w:pPr>
        <w:pStyle w:val="NoSpacing"/>
        <w:numPr>
          <w:ilvl w:val="1"/>
          <w:numId w:val="5"/>
        </w:numPr>
        <w:ind w:left="1000" w:hanging="366"/>
        <w:jc w:val="both"/>
        <w:rPr/>
      </w:pPr>
      <w:r>
        <w:rPr/>
        <w:t>Čerpadlo musí být instalovány tak, aby hřídel čerpadla je ve vodorovné poloze.</w:t>
      </w:r>
    </w:p>
    <w:p>
      <w:pPr>
        <w:pStyle w:val="NoSpacing"/>
        <w:ind w:left="1000" w:hanging="0"/>
        <w:jc w:val="both"/>
        <w:rPr/>
      </w:pPr>
      <w:r>
        <w:rPr/>
      </w:r>
    </w:p>
    <w:p>
      <w:pPr>
        <w:pStyle w:val="NoSpacing"/>
        <w:ind w:left="644" w:hanging="0"/>
        <w:jc w:val="both"/>
        <w:rPr/>
      </w:pPr>
      <w:r>
        <w:rPr/>
      </w:r>
    </w:p>
    <w:p>
      <w:pPr>
        <w:pStyle w:val="NoSpacing"/>
        <w:ind w:left="644" w:hanging="0"/>
        <w:jc w:val="both"/>
        <w:rPr/>
      </w:pPr>
      <w:r>
        <w:rPr/>
      </w:r>
    </w:p>
    <w:p>
      <w:pPr>
        <w:pStyle w:val="NoSpacing"/>
        <w:ind w:left="644" w:hanging="0"/>
        <w:jc w:val="both"/>
        <w:rPr/>
      </w:pPr>
      <w:r>
        <w:rPr/>
      </w:r>
    </w:p>
    <w:p>
      <w:pPr>
        <w:pStyle w:val="NoSpacing"/>
        <w:ind w:left="792" w:hanging="0"/>
        <w:rPr/>
      </w:pPr>
      <w:r>
        <w:rPr/>
        <w:drawing>
          <wp:anchor behindDoc="0" distT="0" distB="0" distL="133350" distR="114300" simplePos="0" locked="0" layoutInCell="1" allowOverlap="1" relativeHeight="13">
            <wp:simplePos x="0" y="0"/>
            <wp:positionH relativeFrom="column">
              <wp:posOffset>3552190</wp:posOffset>
            </wp:positionH>
            <wp:positionV relativeFrom="paragraph">
              <wp:posOffset>101600</wp:posOffset>
            </wp:positionV>
            <wp:extent cx="2884170" cy="1775460"/>
            <wp:effectExtent l="0" t="0" r="0" b="0"/>
            <wp:wrapTight wrapText="bothSides">
              <wp:wrapPolygon edited="0">
                <wp:start x="-170" y="0"/>
                <wp:lineTo x="-170" y="21288"/>
                <wp:lineTo x="21539" y="21288"/>
                <wp:lineTo x="21539" y="0"/>
                <wp:lineTo x="-170" y="0"/>
              </wp:wrapPolygon>
            </wp:wrapTight>
            <wp:docPr id="12" name="Obraz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25" descr=""/>
                    <pic:cNvPicPr>
                      <a:picLocks noChangeAspect="1" noChangeArrowheads="1"/>
                    </pic:cNvPicPr>
                  </pic:nvPicPr>
                  <pic:blipFill>
                    <a:blip r:embed="rId12"/>
                    <a:stretch>
                      <a:fillRect/>
                    </a:stretch>
                  </pic:blipFill>
                  <pic:spPr bwMode="auto">
                    <a:xfrm>
                      <a:off x="0" y="0"/>
                      <a:ext cx="2884170" cy="1775460"/>
                    </a:xfrm>
                    <a:prstGeom prst="rect">
                      <a:avLst/>
                    </a:prstGeom>
                  </pic:spPr>
                </pic:pic>
              </a:graphicData>
            </a:graphic>
          </wp:anchor>
        </w:drawing>
      </w:r>
    </w:p>
    <w:p>
      <w:pPr>
        <w:pStyle w:val="NoSpacing"/>
        <w:ind w:left="792" w:hanging="0"/>
        <w:rPr/>
      </w:pPr>
      <w:r>
        <w:rPr/>
      </w:r>
    </w:p>
    <w:p>
      <w:pPr>
        <w:pStyle w:val="NoSpacing"/>
        <w:ind w:left="792" w:hanging="0"/>
        <w:rPr/>
      </w:pPr>
      <w:r>
        <w:rPr/>
      </w:r>
    </w:p>
    <w:p>
      <w:pPr>
        <w:pStyle w:val="NoSpacing"/>
        <w:ind w:left="792" w:hanging="0"/>
        <w:rPr/>
      </w:pPr>
      <w:r>
        <w:rPr/>
      </w:r>
    </w:p>
    <w:p>
      <w:pPr>
        <w:pStyle w:val="NoSpacing"/>
        <w:ind w:left="792" w:hanging="0"/>
        <w:rPr/>
      </w:pPr>
      <w:r>
        <w:rPr/>
      </w:r>
    </w:p>
    <w:p>
      <w:pPr>
        <w:pStyle w:val="NoSpacing"/>
        <w:ind w:left="792" w:hanging="0"/>
        <w:rPr/>
      </w:pPr>
      <w:r>
        <w:rPr/>
      </w:r>
    </w:p>
    <w:p>
      <w:pPr>
        <w:pStyle w:val="NoSpacing"/>
        <w:ind w:left="792" w:hanging="0"/>
        <w:rPr/>
      </w:pPr>
      <w:r>
        <w:rPr/>
      </w:r>
    </w:p>
    <w:p>
      <w:pPr>
        <w:pStyle w:val="NoSpacing"/>
        <w:ind w:left="792" w:hanging="0"/>
        <w:rPr/>
      </w:pPr>
      <w:r>
        <w:rPr/>
      </w:r>
    </w:p>
    <w:p>
      <w:pPr>
        <w:pStyle w:val="NoSpacing"/>
        <w:ind w:left="792" w:hanging="0"/>
        <w:rPr/>
      </w:pPr>
      <w:r>
        <w:rPr/>
      </w:r>
    </w:p>
    <w:p>
      <w:pPr>
        <w:pStyle w:val="NoSpacing"/>
        <w:ind w:left="792" w:hanging="0"/>
        <w:rPr/>
      </w:pPr>
      <w:r>
        <w:rPr/>
      </w:r>
    </w:p>
    <w:p>
      <w:pPr>
        <w:pStyle w:val="NoSpacing"/>
        <w:ind w:left="792" w:hanging="0"/>
        <w:rPr/>
      </w:pPr>
      <w:r>
        <w:rPr/>
      </w:r>
    </w:p>
    <w:p>
      <w:pPr>
        <w:pStyle w:val="NoSpacing"/>
        <w:ind w:left="792" w:hanging="0"/>
        <w:rPr/>
      </w:pPr>
      <w:r>
        <w:rPr/>
      </w:r>
    </w:p>
    <w:p>
      <w:pPr>
        <w:pStyle w:val="NoSpacing"/>
        <w:ind w:left="792" w:hanging="0"/>
        <w:rPr/>
      </w:pPr>
      <w:r>
        <w:rPr/>
      </w:r>
    </w:p>
    <w:p>
      <w:pPr>
        <w:pStyle w:val="NoSpacing"/>
        <w:numPr>
          <w:ilvl w:val="1"/>
          <w:numId w:val="5"/>
        </w:numPr>
        <w:ind w:left="1000" w:hanging="291"/>
        <w:rPr/>
      </w:pPr>
      <w:r>
        <w:rPr/>
        <w:t>Přípustná poloha ovládacího panelu</w:t>
      </w:r>
    </w:p>
    <w:p>
      <w:pPr>
        <w:pStyle w:val="NoSpacing"/>
        <w:numPr>
          <w:ilvl w:val="0"/>
          <w:numId w:val="0"/>
        </w:numPr>
        <w:ind w:left="1000" w:hanging="0"/>
        <w:rPr/>
      </w:pPr>
      <w:r>
        <w:rPr/>
      </w:r>
    </w:p>
    <w:p>
      <w:pPr>
        <w:pStyle w:val="NoSpacing"/>
        <w:ind w:left="851" w:hanging="0"/>
        <w:rPr/>
      </w:pPr>
      <w:r>
        <w:rPr/>
        <w:drawing>
          <wp:inline distT="0" distB="0" distL="0" distR="7620">
            <wp:extent cx="3688080" cy="4401185"/>
            <wp:effectExtent l="0" t="0" r="0" b="0"/>
            <wp:docPr id="13" name="Obraz 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295" descr=""/>
                    <pic:cNvPicPr>
                      <a:picLocks noChangeAspect="1" noChangeArrowheads="1"/>
                    </pic:cNvPicPr>
                  </pic:nvPicPr>
                  <pic:blipFill>
                    <a:blip r:embed="rId13"/>
                    <a:stretch>
                      <a:fillRect/>
                    </a:stretch>
                  </pic:blipFill>
                  <pic:spPr bwMode="auto">
                    <a:xfrm>
                      <a:off x="0" y="0"/>
                      <a:ext cx="3688080" cy="4401185"/>
                    </a:xfrm>
                    <a:prstGeom prst="rect">
                      <a:avLst/>
                    </a:prstGeom>
                  </pic:spPr>
                </pic:pic>
              </a:graphicData>
            </a:graphic>
          </wp:inline>
        </w:drawing>
      </w:r>
    </w:p>
    <w:p>
      <w:pPr>
        <w:pStyle w:val="NoSpacing"/>
        <w:numPr>
          <w:ilvl w:val="1"/>
          <w:numId w:val="5"/>
        </w:numPr>
        <w:ind w:left="1134" w:hanging="425"/>
        <w:rPr/>
      </w:pPr>
      <w:r>
        <w:rPr/>
        <w:t>Změna orientace ovládacího panelu</w:t>
      </w:r>
    </w:p>
    <w:p>
      <w:pPr>
        <w:pStyle w:val="Normal"/>
        <w:ind w:left="1134" w:hanging="0"/>
        <w:jc w:val="both"/>
        <w:rPr/>
      </w:pPr>
      <w:r>
        <w:rPr/>
        <w:t>Ovládací panel s tělem motoru lze otočit o 90 °. Chcete-li změnit pozici krabice, postupujte takto:</w:t>
      </w:r>
    </w:p>
    <w:p>
      <w:pPr>
        <w:pStyle w:val="Normal"/>
        <w:ind w:left="709" w:hanging="0"/>
        <w:rPr/>
      </w:pPr>
      <w:r>
        <w:rPr/>
        <w:t>1. Odpojte čerpadlo od napájení</w:t>
      </w:r>
    </w:p>
    <w:p>
      <w:pPr>
        <w:pStyle w:val="Normal"/>
        <w:ind w:left="709" w:hanging="0"/>
        <w:rPr/>
      </w:pPr>
      <w:r>
        <w:rPr/>
        <w:t>2.Zavřete uzavírací kulové ventily na vstupu a výstupu čerpadla a dekomprimujte;</w:t>
      </w:r>
    </w:p>
    <w:p>
      <w:pPr>
        <w:pStyle w:val="Normal"/>
        <w:ind w:left="709" w:hanging="0"/>
        <w:rPr/>
      </w:pPr>
      <w:r>
        <w:rPr/>
        <w:t>3. Uvolněte a odstraňte čtyři šrouby zajišťující hlavu k tělu čerpadla;</w:t>
      </w:r>
    </w:p>
    <w:p>
      <w:pPr>
        <w:pStyle w:val="Normal"/>
        <w:ind w:left="709" w:hanging="0"/>
        <w:rPr/>
      </w:pPr>
      <w:r>
        <w:rPr/>
        <w:t>4. Otočte motor do požadované polohy a upravte čtyři otvory pro šrouby;</w:t>
      </w:r>
    </w:p>
    <w:p>
      <w:pPr>
        <w:pStyle w:val="Normal"/>
        <w:ind w:left="709" w:hanging="0"/>
        <w:rPr/>
      </w:pPr>
      <w:r>
        <w:rPr/>
        <w:t>5. Vložte čtyři šrouby s imbusovou hlavou do příslušných zásuvek a utáhněte je</w:t>
      </w:r>
    </w:p>
    <w:p>
      <w:pPr>
        <w:pStyle w:val="ListParagraph"/>
        <w:ind w:left="1069" w:hanging="0"/>
        <w:rPr/>
      </w:pPr>
      <w:r>
        <w:drawing>
          <wp:anchor behindDoc="0" distT="0" distB="0" distL="0" distR="0" simplePos="0" locked="0" layoutInCell="1" allowOverlap="1" relativeHeight="6">
            <wp:simplePos x="0" y="0"/>
            <wp:positionH relativeFrom="column">
              <wp:posOffset>320675</wp:posOffset>
            </wp:positionH>
            <wp:positionV relativeFrom="paragraph">
              <wp:posOffset>-107315</wp:posOffset>
            </wp:positionV>
            <wp:extent cx="328930" cy="292735"/>
            <wp:effectExtent l="0" t="0" r="0" b="0"/>
            <wp:wrapNone/>
            <wp:docPr id="14" name="Obraz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15" descr=""/>
                    <pic:cNvPicPr>
                      <a:picLocks noChangeAspect="1" noChangeArrowheads="1"/>
                    </pic:cNvPicPr>
                  </pic:nvPicPr>
                  <pic:blipFill>
                    <a:blip r:embed="rId14"/>
                    <a:stretch>
                      <a:fillRect/>
                    </a:stretch>
                  </pic:blipFill>
                  <pic:spPr bwMode="auto">
                    <a:xfrm>
                      <a:off x="0" y="0"/>
                      <a:ext cx="328930" cy="292735"/>
                    </a:xfrm>
                    <a:prstGeom prst="rect">
                      <a:avLst/>
                    </a:prstGeom>
                  </pic:spPr>
                </pic:pic>
              </a:graphicData>
            </a:graphic>
          </wp:anchor>
        </w:drawing>
      </w:r>
      <w:r>
        <w:rPr/>
        <w:t>P</w:t>
      </w:r>
      <w:r>
        <w:rPr/>
        <w:t>OZOR !!! Topné médium může mít vysokou teplotu a tlak, takže kapalina musí být odstraněna ze systému nebo uzavíracími ventily na obou stranách čerpadla před odstraněním šroubů s hlavou s Allen.</w:t>
      </w:r>
    </w:p>
    <w:p>
      <w:pPr>
        <w:pStyle w:val="ListParagraph"/>
        <w:ind w:left="1069" w:hanging="0"/>
        <w:rPr/>
      </w:pPr>
      <w:r>
        <w:rPr/>
      </w:r>
    </w:p>
    <w:p>
      <w:pPr>
        <w:pStyle w:val="ListParagraph"/>
        <w:ind w:left="1069" w:hanging="0"/>
        <w:jc w:val="both"/>
        <w:rPr/>
      </w:pPr>
      <w:r>
        <w:drawing>
          <wp:anchor behindDoc="0" distT="0" distB="0" distL="0" distR="0" simplePos="0" locked="0" layoutInCell="1" allowOverlap="1" relativeHeight="7">
            <wp:simplePos x="0" y="0"/>
            <wp:positionH relativeFrom="column">
              <wp:posOffset>352425</wp:posOffset>
            </wp:positionH>
            <wp:positionV relativeFrom="paragraph">
              <wp:posOffset>16510</wp:posOffset>
            </wp:positionV>
            <wp:extent cx="328930" cy="124460"/>
            <wp:effectExtent l="0" t="0" r="0" b="0"/>
            <wp:wrapNone/>
            <wp:docPr id="15" name="Obraz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16" descr=""/>
                    <pic:cNvPicPr>
                      <a:picLocks noChangeAspect="1" noChangeArrowheads="1"/>
                    </pic:cNvPicPr>
                  </pic:nvPicPr>
                  <pic:blipFill>
                    <a:blip r:embed="rId15"/>
                    <a:stretch>
                      <a:fillRect/>
                    </a:stretch>
                  </pic:blipFill>
                  <pic:spPr bwMode="auto">
                    <a:xfrm>
                      <a:off x="0" y="0"/>
                      <a:ext cx="328930" cy="124460"/>
                    </a:xfrm>
                    <a:prstGeom prst="rect">
                      <a:avLst/>
                    </a:prstGeom>
                  </pic:spPr>
                </pic:pic>
              </a:graphicData>
            </a:graphic>
          </wp:anchor>
        </w:drawing>
      </w:r>
      <w:r>
        <w:rPr/>
        <w:t xml:space="preserve"> </w:t>
      </w:r>
      <w:r>
        <w:rPr/>
        <w:t>Po změně polohy ovládacího panelu čerpadla nesmí spustit před opětovným naplněním topného systému nebo topného média před otevřením uzavírací ventily před a za čerpadlem.</w:t>
      </w:r>
    </w:p>
    <w:p>
      <w:pPr>
        <w:pStyle w:val="ListParagraph"/>
        <w:numPr>
          <w:ilvl w:val="1"/>
          <w:numId w:val="5"/>
        </w:numPr>
        <w:rPr/>
      </w:pPr>
      <w:r>
        <w:rPr/>
        <w:t>TEPELNÁ IZOLACE ČERPADLA A MOTOROVÉHO TĚLA</w:t>
      </w:r>
    </w:p>
    <w:p>
      <w:pPr>
        <w:pStyle w:val="ListParagraph"/>
        <w:ind w:left="1000" w:hanging="0"/>
        <w:rPr/>
      </w:pPr>
      <w:r>
        <w:drawing>
          <wp:anchor behindDoc="0" distT="0" distB="0" distL="133350" distR="114300" simplePos="0" locked="0" layoutInCell="1" allowOverlap="1" relativeHeight="14">
            <wp:simplePos x="0" y="0"/>
            <wp:positionH relativeFrom="column">
              <wp:posOffset>3666490</wp:posOffset>
            </wp:positionH>
            <wp:positionV relativeFrom="paragraph">
              <wp:posOffset>196850</wp:posOffset>
            </wp:positionV>
            <wp:extent cx="1908810" cy="1203960"/>
            <wp:effectExtent l="0" t="0" r="0" b="0"/>
            <wp:wrapSquare wrapText="bothSides"/>
            <wp:docPr id="16" name="Obraz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 14" descr=""/>
                    <pic:cNvPicPr>
                      <a:picLocks noChangeAspect="1" noChangeArrowheads="1"/>
                    </pic:cNvPicPr>
                  </pic:nvPicPr>
                  <pic:blipFill>
                    <a:blip r:embed="rId16"/>
                    <a:stretch>
                      <a:fillRect/>
                    </a:stretch>
                  </pic:blipFill>
                  <pic:spPr bwMode="auto">
                    <a:xfrm>
                      <a:off x="0" y="0"/>
                      <a:ext cx="1908810" cy="1203960"/>
                    </a:xfrm>
                    <a:prstGeom prst="rect">
                      <a:avLst/>
                    </a:prstGeom>
                  </pic:spPr>
                </pic:pic>
              </a:graphicData>
            </a:graphic>
          </wp:anchor>
        </w:drawing>
      </w:r>
      <w:r>
        <w:rPr/>
        <w:drawing>
          <wp:inline distT="0" distB="0" distL="0" distR="0">
            <wp:extent cx="326390" cy="121920"/>
            <wp:effectExtent l="0" t="0" r="0" b="0"/>
            <wp:docPr id="17" name="Obraz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17" descr=""/>
                    <pic:cNvPicPr>
                      <a:picLocks noChangeAspect="1" noChangeArrowheads="1"/>
                    </pic:cNvPicPr>
                  </pic:nvPicPr>
                  <pic:blipFill>
                    <a:blip r:embed="rId17"/>
                    <a:stretch>
                      <a:fillRect/>
                    </a:stretch>
                  </pic:blipFill>
                  <pic:spPr bwMode="auto">
                    <a:xfrm>
                      <a:off x="0" y="0"/>
                      <a:ext cx="326390" cy="121920"/>
                    </a:xfrm>
                    <a:prstGeom prst="rect">
                      <a:avLst/>
                    </a:prstGeom>
                  </pic:spPr>
                </pic:pic>
              </a:graphicData>
            </a:graphic>
          </wp:inline>
        </w:drawing>
      </w:r>
      <w:r>
        <w:rPr/>
        <w:t xml:space="preserve"> </w:t>
      </w:r>
      <w:r>
        <w:rPr/>
        <w:t xml:space="preserve">Aby se snížily tepelné ztráty toku čerpadla topného média může být namontován na tělese čerpadla a skříně motoru v podobě tepelné izolace, například. Polystyrenu krytu. </w:t>
      </w:r>
    </w:p>
    <w:p>
      <w:pPr>
        <w:pStyle w:val="NoSpacing"/>
        <w:numPr>
          <w:ilvl w:val="0"/>
          <w:numId w:val="10"/>
        </w:numPr>
        <w:ind w:left="720" w:hanging="153"/>
        <w:jc w:val="both"/>
        <w:rPr/>
      </w:pPr>
      <w:r>
        <w:rPr/>
        <w:t>Neizolujte nebo zakrýt spojovací skříňky a ovládací panel.</w:t>
      </w:r>
    </w:p>
    <w:p>
      <w:pPr>
        <w:pStyle w:val="NoSpacing"/>
        <w:ind w:left="360" w:hanging="0"/>
        <w:jc w:val="both"/>
        <w:rPr/>
      </w:pPr>
      <w:r>
        <w:rPr/>
      </w:r>
    </w:p>
    <w:p>
      <w:pPr>
        <w:pStyle w:val="NoSpacing"/>
        <w:ind w:left="792" w:hanging="0"/>
        <w:jc w:val="both"/>
        <w:rPr/>
      </w:pPr>
      <w:r>
        <w:rPr/>
      </w:r>
    </w:p>
    <w:p>
      <w:pPr>
        <w:pStyle w:val="NoSpacing"/>
        <w:numPr>
          <w:ilvl w:val="0"/>
          <w:numId w:val="5"/>
        </w:numPr>
        <w:ind w:left="1211" w:hanging="218"/>
        <w:rPr>
          <w:b/>
          <w:b/>
        </w:rPr>
      </w:pPr>
      <w:r>
        <w:drawing>
          <wp:anchor behindDoc="0" distT="0" distB="5715" distL="114300" distR="114300" simplePos="0" locked="0" layoutInCell="1" allowOverlap="1" relativeHeight="2">
            <wp:simplePos x="0" y="0"/>
            <wp:positionH relativeFrom="column">
              <wp:posOffset>2943225</wp:posOffset>
            </wp:positionH>
            <wp:positionV relativeFrom="paragraph">
              <wp:posOffset>106680</wp:posOffset>
            </wp:positionV>
            <wp:extent cx="2538095" cy="3556635"/>
            <wp:effectExtent l="0" t="0" r="0" b="0"/>
            <wp:wrapTight wrapText="bothSides">
              <wp:wrapPolygon edited="0">
                <wp:start x="-38" y="0"/>
                <wp:lineTo x="-38" y="21482"/>
                <wp:lineTo x="21397" y="21482"/>
                <wp:lineTo x="21397" y="0"/>
                <wp:lineTo x="-38" y="0"/>
              </wp:wrapPolygon>
            </wp:wrapTight>
            <wp:docPr id="18" name="Obraz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raz 19" descr=""/>
                    <pic:cNvPicPr>
                      <a:picLocks noChangeAspect="1" noChangeArrowheads="1"/>
                    </pic:cNvPicPr>
                  </pic:nvPicPr>
                  <pic:blipFill>
                    <a:blip r:embed="rId18"/>
                    <a:stretch>
                      <a:fillRect/>
                    </a:stretch>
                  </pic:blipFill>
                  <pic:spPr bwMode="auto">
                    <a:xfrm>
                      <a:off x="0" y="0"/>
                      <a:ext cx="2538095" cy="3556635"/>
                    </a:xfrm>
                    <a:prstGeom prst="rect">
                      <a:avLst/>
                    </a:prstGeom>
                  </pic:spPr>
                </pic:pic>
              </a:graphicData>
            </a:graphic>
          </wp:anchor>
        </w:drawing>
      </w:r>
      <w:r>
        <w:rPr>
          <w:b/>
        </w:rPr>
        <w:t>E</w:t>
      </w:r>
      <w:r>
        <w:rPr>
          <w:b/>
        </w:rPr>
        <w:t>lektrické připojení</w:t>
      </w:r>
    </w:p>
    <w:p>
      <w:pPr>
        <w:pStyle w:val="NoSpacing"/>
        <w:ind w:left="644" w:hanging="0"/>
        <w:rPr/>
      </w:pPr>
      <w:r>
        <w:rPr/>
        <w:t xml:space="preserve"> </w:t>
      </w:r>
    </w:p>
    <w:p>
      <w:pPr>
        <w:pStyle w:val="NoSpacing"/>
        <w:ind w:left="644" w:hanging="0"/>
        <w:rPr/>
      </w:pPr>
      <w:r>
        <w:rPr/>
        <w:t xml:space="preserve"> </w:t>
      </w:r>
      <w:r>
        <w:rPr/>
        <mc:AlternateContent>
          <mc:Choice Requires="wps">
            <w:drawing>
              <wp:inline distT="0" distB="0" distL="0" distR="0">
                <wp:extent cx="1871980" cy="2076450"/>
                <wp:effectExtent l="0" t="0" r="0" b="0"/>
                <wp:docPr id="19" name="PSI4.jpg"/>
                <a:graphic xmlns:a="http://schemas.openxmlformats.org/drawingml/2006/main">
                  <a:graphicData uri="http://schemas.openxmlformats.org/drawingml/2006/picture">
                    <pic:pic xmlns:pic="http://schemas.openxmlformats.org/drawingml/2006/picture">
                      <pic:nvPicPr>
                        <pic:cNvPr id="0" name="PSI4.jpg" descr=""/>
                        <pic:cNvPicPr/>
                      </pic:nvPicPr>
                      <pic:blipFill>
                        <a:blip r:embed="rId19">
                          <a:extLst>
                            <a:ext uri="{BEBA8EAE-BF5A-486C-A8C5-ECC9F3942E4B}">
                              <a14:imgProps xmlns:a14="http://schemas.microsoft.com/office/drawing/2010/main">
                                <a14:imgLayer r:embed="rId20">
                                  <a14:imgEffect>
                                    <a14:brightnessContrast bright="-7000"/>
                                  </a14:imgEffect>
                                </a14:imgLayer>
                              </a14:imgProps>
                            </a:ext>
                          </a:extLst>
                        </a:blip>
                        <a:stretch/>
                      </pic:blipFill>
                      <pic:spPr>
                        <a:xfrm>
                          <a:off x="0" y="0"/>
                          <a:ext cx="1871280" cy="2075760"/>
                        </a:xfrm>
                        <a:prstGeom prst="rect">
                          <a:avLst/>
                        </a:prstGeom>
                        <a:ln>
                          <a:noFill/>
                        </a:ln>
                      </pic:spPr>
                    </pic:pic>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SI4.jpg" stroked="f" style="position:absolute;margin-left:0pt;margin-top:-163.5pt;width:147.3pt;height:163.4pt;mso-position-vertical:top" type="shapetype_75">
                <v:imagedata r:id="rId19" o:detectmouseclick="t"/>
                <w10:wrap type="none"/>
                <v:stroke color="#3465a4" joinstyle="round" endcap="flat"/>
              </v:shape>
            </w:pict>
          </mc:Fallback>
        </mc:AlternateContent>
      </w:r>
    </w:p>
    <w:p>
      <w:pPr>
        <w:pStyle w:val="NoSpacing"/>
        <w:ind w:left="792" w:hanging="0"/>
        <w:rPr/>
      </w:pPr>
      <w:r>
        <w:rPr/>
      </w:r>
    </w:p>
    <w:p>
      <w:pPr>
        <w:pStyle w:val="NoSpacing"/>
        <w:ind w:left="792" w:hanging="0"/>
        <w:rPr/>
      </w:pPr>
      <w:r>
        <w:rPr/>
      </w:r>
    </w:p>
    <w:p>
      <w:pPr>
        <w:pStyle w:val="NoSpacing"/>
        <w:rPr/>
      </w:pPr>
      <w:r>
        <w:rPr/>
        <w:t xml:space="preserve"> </w:t>
      </w:r>
    </w:p>
    <w:p>
      <w:pPr>
        <w:pStyle w:val="NoSpacing"/>
        <w:rPr/>
      </w:pPr>
      <w:r>
        <w:rPr/>
      </w:r>
    </w:p>
    <w:p>
      <w:pPr>
        <w:pStyle w:val="NoSpacing"/>
        <w:rPr/>
      </w:pPr>
      <w:r>
        <w:rPr/>
      </w:r>
    </w:p>
    <w:p>
      <w:pPr>
        <w:pStyle w:val="NoSpacing"/>
        <w:rPr/>
      </w:pPr>
      <w:r>
        <w:rPr/>
      </w:r>
    </w:p>
    <w:p>
      <w:pPr>
        <w:pStyle w:val="NoSpacing"/>
        <w:ind w:left="567" w:hanging="0"/>
        <w:jc w:val="both"/>
        <w:rPr/>
      </w:pPr>
      <w:r>
        <w:rPr/>
      </w:r>
    </w:p>
    <w:p>
      <w:pPr>
        <w:pStyle w:val="NoSpacing"/>
        <w:ind w:left="567" w:hanging="0"/>
        <w:jc w:val="both"/>
        <w:rPr/>
      </w:pPr>
      <w:r>
        <w:rPr/>
      </w:r>
    </w:p>
    <w:p>
      <w:pPr>
        <w:pStyle w:val="NoSpacing"/>
        <w:ind w:left="567" w:hanging="0"/>
        <w:jc w:val="both"/>
        <w:rPr/>
      </w:pPr>
      <w:r>
        <w:rPr/>
        <w:t>Elektrické připojení a ochrana by měla být provedena v souladu s místními předpisy.</w:t>
      </w:r>
    </w:p>
    <w:p>
      <w:pPr>
        <w:pStyle w:val="NoSpacing"/>
        <w:ind w:left="567" w:hanging="0"/>
        <w:rPr/>
      </w:pPr>
      <w:r>
        <w:rPr/>
      </w:r>
    </w:p>
    <w:p>
      <w:pPr>
        <w:pStyle w:val="NoSpacing"/>
        <w:ind w:left="567" w:hanging="0"/>
        <w:jc w:val="both"/>
        <w:rPr>
          <w:rFonts w:eastAsia="Times New Roman" w:cs="Times New Roman"/>
          <w:lang w:eastAsia="pl-PL"/>
        </w:rPr>
      </w:pPr>
      <w:r>
        <w:rPr/>
        <w:drawing>
          <wp:inline distT="0" distB="0" distL="0" distR="0">
            <wp:extent cx="329565" cy="292735"/>
            <wp:effectExtent l="0" t="0" r="0" b="0"/>
            <wp:docPr id="20" name="Obraz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 21" descr=""/>
                    <pic:cNvPicPr>
                      <a:picLocks noChangeAspect="1" noChangeArrowheads="1"/>
                    </pic:cNvPicPr>
                  </pic:nvPicPr>
                  <pic:blipFill>
                    <a:blip r:embed="rId21"/>
                    <a:stretch>
                      <a:fillRect/>
                    </a:stretch>
                  </pic:blipFill>
                  <pic:spPr bwMode="auto">
                    <a:xfrm>
                      <a:off x="0" y="0"/>
                      <a:ext cx="329565" cy="292735"/>
                    </a:xfrm>
                    <a:prstGeom prst="rect">
                      <a:avLst/>
                    </a:prstGeom>
                  </pic:spPr>
                </pic:pic>
              </a:graphicData>
            </a:graphic>
          </wp:inline>
        </w:drawing>
      </w:r>
      <w:r>
        <w:rPr/>
        <w:t xml:space="preserve"> </w:t>
      </w:r>
      <w:r>
        <w:rPr/>
        <w:t xml:space="preserve">Elektrické čerpadlo musí být připojeno k zemnicí vodič </w:t>
      </w:r>
      <w:r>
        <w:rPr/>
        <w:drawing>
          <wp:inline distT="0" distB="4445" distL="0" distR="4445">
            <wp:extent cx="129540" cy="129540"/>
            <wp:effectExtent l="0" t="0" r="0" b="0"/>
            <wp:docPr id="21" name="Obraz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braz 23" descr=""/>
                    <pic:cNvPicPr>
                      <a:picLocks noChangeAspect="1" noChangeArrowheads="1"/>
                    </pic:cNvPicPr>
                  </pic:nvPicPr>
                  <pic:blipFill>
                    <a:blip r:embed="rId22"/>
                    <a:stretch>
                      <a:fillRect/>
                    </a:stretch>
                  </pic:blipFill>
                  <pic:spPr bwMode="auto">
                    <a:xfrm>
                      <a:off x="0" y="0"/>
                      <a:ext cx="129540" cy="129540"/>
                    </a:xfrm>
                    <a:prstGeom prst="rect">
                      <a:avLst/>
                    </a:prstGeom>
                  </pic:spPr>
                </pic:pic>
              </a:graphicData>
            </a:graphic>
          </wp:inline>
        </w:drawing>
      </w:r>
      <w:r>
        <w:rPr>
          <w:rFonts w:eastAsia="Times New Roman" w:cs="Times New Roman"/>
          <w:lang w:eastAsia="pl-PL"/>
        </w:rPr>
        <w:br/>
        <w:t>Čerpadlo musí být připojeno k externímu spínače zasilaniaMinimalna mezerou mezi kontakty spínače musí být 3 mm.</w:t>
      </w:r>
    </w:p>
    <w:p>
      <w:pPr>
        <w:pStyle w:val="NoSpacing"/>
        <w:ind w:left="567"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Spacing"/>
        <w:ind w:left="567" w:hanging="0"/>
        <w:rPr/>
      </w:pPr>
      <w:r>
        <w:rPr/>
        <w:t xml:space="preserve">• </w:t>
      </w:r>
      <w:r>
        <w:rPr/>
        <w:t xml:space="preserve">oběhové čerpadlo série BTEA 2 nevyžaduje žádnou externí motorovou ochranu. </w:t>
      </w:r>
    </w:p>
    <w:p>
      <w:pPr>
        <w:pStyle w:val="NoSpacing"/>
        <w:ind w:left="567" w:hanging="0"/>
        <w:rPr/>
      </w:pPr>
      <w:r>
        <w:rPr/>
        <w:t xml:space="preserve">• </w:t>
      </w:r>
      <w:r>
        <w:rPr/>
        <w:t xml:space="preserve">Ujistěte se, že napětí a frekvence odpovídají těm, které je uvedeno na typovém štítku čerpadla. </w:t>
      </w:r>
    </w:p>
    <w:p>
      <w:pPr>
        <w:pStyle w:val="NoSpacing"/>
        <w:ind w:left="567" w:hanging="0"/>
        <w:rPr/>
      </w:pPr>
      <w:r>
        <w:rPr/>
        <w:t xml:space="preserve">• </w:t>
      </w:r>
      <w:r>
        <w:rPr/>
        <w:t xml:space="preserve">Pro připojení napájecího kabelu, použijte speciální konektor dodaný s čerpadlem. </w:t>
      </w:r>
    </w:p>
    <w:p>
      <w:pPr>
        <w:pStyle w:val="NoSpacing"/>
        <w:ind w:left="567" w:hanging="0"/>
        <w:rPr/>
      </w:pPr>
      <w:r>
        <w:rPr/>
        <w:t xml:space="preserve">• </w:t>
      </w:r>
      <w:r>
        <w:rPr/>
        <w:t>Je-li ovládací panel se rozsvítí , znamená to, že je zapnuto napájení.</w:t>
      </w:r>
    </w:p>
    <w:p>
      <w:pPr>
        <w:pStyle w:val="NoSpacing"/>
        <w:ind w:left="567" w:hanging="0"/>
        <w:rPr/>
      </w:pPr>
      <w:r>
        <w:rPr/>
      </w:r>
    </w:p>
    <w:p>
      <w:pPr>
        <w:pStyle w:val="NoSpacing"/>
        <w:numPr>
          <w:ilvl w:val="0"/>
          <w:numId w:val="5"/>
        </w:numPr>
        <w:ind w:left="426" w:hanging="0"/>
        <w:rPr>
          <w:b/>
          <w:b/>
        </w:rPr>
      </w:pPr>
      <w:r>
        <w:drawing>
          <wp:anchor behindDoc="1" distT="0" distB="0" distL="0" distR="0" simplePos="0" locked="0" layoutInCell="1" allowOverlap="1" relativeHeight="10">
            <wp:simplePos x="0" y="0"/>
            <wp:positionH relativeFrom="column">
              <wp:posOffset>-46355</wp:posOffset>
            </wp:positionH>
            <wp:positionV relativeFrom="paragraph">
              <wp:posOffset>-716915</wp:posOffset>
            </wp:positionV>
            <wp:extent cx="5760720" cy="5760720"/>
            <wp:effectExtent l="0" t="0" r="0" b="0"/>
            <wp:wrapNone/>
            <wp:docPr id="22" name="Obraz 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braz 304" descr=""/>
                    <pic:cNvPicPr>
                      <a:picLocks noChangeAspect="1" noChangeArrowheads="1"/>
                    </pic:cNvPicPr>
                  </pic:nvPicPr>
                  <pic:blipFill>
                    <a:blip r:embed="rId23"/>
                    <a:stretch>
                      <a:fillRect/>
                    </a:stretch>
                  </pic:blipFill>
                  <pic:spPr bwMode="auto">
                    <a:xfrm>
                      <a:off x="0" y="0"/>
                      <a:ext cx="5760720" cy="5760720"/>
                    </a:xfrm>
                    <a:prstGeom prst="rect">
                      <a:avLst/>
                    </a:prstGeom>
                  </pic:spPr>
                </pic:pic>
              </a:graphicData>
            </a:graphic>
          </wp:anchor>
        </w:drawing>
      </w:r>
      <w:r>
        <w:rPr>
          <w:b/>
        </w:rPr>
        <w:t>O</w:t>
      </w:r>
      <w:r>
        <w:rPr>
          <w:b/>
        </w:rPr>
        <w:t>vládací panel</w:t>
      </w:r>
    </w:p>
    <w:p>
      <w:pPr>
        <w:pStyle w:val="NoSpacing"/>
        <w:numPr>
          <w:ilvl w:val="1"/>
          <w:numId w:val="5"/>
        </w:numPr>
        <w:rPr/>
      </w:pPr>
      <w:r>
        <w:rPr/>
        <w:t>Ovládací panel</w:t>
      </w:r>
    </w:p>
    <w:p>
      <w:pPr>
        <w:pStyle w:val="NoSpacing"/>
        <w:rPr/>
      </w:pPr>
      <w:r>
        <w:rPr/>
      </w:r>
    </w:p>
    <w:p>
      <w:pPr>
        <w:pStyle w:val="NoSpacing"/>
        <w:rPr/>
      </w:pPr>
      <w:r>
        <w:rPr/>
      </w:r>
    </w:p>
    <w:p>
      <w:pPr>
        <w:pStyle w:val="NoSpacing"/>
        <w:rPr/>
      </w:pPr>
      <w:r>
        <w:rPr/>
      </w:r>
    </w:p>
    <w:p>
      <w:pPr>
        <w:pStyle w:val="NoSpacing"/>
        <w:rPr/>
      </w:pPr>
      <w:r>
        <w:rPr/>
      </w:r>
    </w:p>
    <w:p>
      <w:pPr>
        <w:pStyle w:val="NoSpacing"/>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p>
      <w:pPr>
        <w:pStyle w:val="NoSpacing"/>
        <w:ind w:left="1000" w:hanging="0"/>
        <w:rPr/>
      </w:pPr>
      <w:r>
        <w:rPr/>
      </w:r>
    </w:p>
    <w:tbl>
      <w:tblPr>
        <w:tblStyle w:val="Tabela-Siatka"/>
        <w:tblW w:w="7841" w:type="dxa"/>
        <w:jc w:val="left"/>
        <w:tblInd w:w="675" w:type="dxa"/>
        <w:tblCellMar>
          <w:top w:w="0" w:type="dxa"/>
          <w:left w:w="108" w:type="dxa"/>
          <w:bottom w:w="0" w:type="dxa"/>
          <w:right w:w="108" w:type="dxa"/>
        </w:tblCellMar>
        <w:tblLook w:val="04a0"/>
      </w:tblPr>
      <w:tblGrid>
        <w:gridCol w:w="6804"/>
        <w:gridCol w:w="1036"/>
      </w:tblGrid>
      <w:tr>
        <w:trPr/>
        <w:tc>
          <w:tcPr>
            <w:tcW w:w="6804" w:type="dxa"/>
            <w:tcBorders/>
            <w:shd w:fill="auto" w:val="clear"/>
          </w:tcPr>
          <w:p>
            <w:pPr>
              <w:pStyle w:val="NoSpacing"/>
              <w:spacing w:lineRule="auto" w:line="240" w:before="0" w:after="0"/>
              <w:rPr>
                <w:sz w:val="18"/>
                <w:szCs w:val="18"/>
              </w:rPr>
            </w:pPr>
            <w:r>
              <w:rPr>
                <w:sz w:val="18"/>
                <w:szCs w:val="18"/>
              </w:rPr>
              <w:t>Popis funkce:</w:t>
            </w:r>
          </w:p>
        </w:tc>
        <w:tc>
          <w:tcPr>
            <w:tcW w:w="1036" w:type="dxa"/>
            <w:tcBorders/>
            <w:shd w:fill="auto" w:val="clear"/>
            <w:vAlign w:val="center"/>
          </w:tcPr>
          <w:p>
            <w:pPr>
              <w:pStyle w:val="NoSpacing"/>
              <w:spacing w:lineRule="auto" w:line="240" w:before="0" w:after="0"/>
              <w:jc w:val="center"/>
              <w:rPr>
                <w:sz w:val="18"/>
                <w:szCs w:val="18"/>
              </w:rPr>
            </w:pPr>
            <w:r>
              <w:rPr>
                <w:sz w:val="18"/>
                <w:szCs w:val="18"/>
              </w:rPr>
              <w:t>symbol:</w:t>
            </w:r>
          </w:p>
        </w:tc>
      </w:tr>
      <w:tr>
        <w:trPr/>
        <w:tc>
          <w:tcPr>
            <w:tcW w:w="6804" w:type="dxa"/>
            <w:tcBorders/>
            <w:shd w:fill="auto" w:val="clear"/>
          </w:tcPr>
          <w:p>
            <w:pPr>
              <w:pStyle w:val="NoSpacing"/>
              <w:spacing w:lineRule="auto" w:line="240" w:before="0" w:after="0"/>
              <w:rPr>
                <w:sz w:val="18"/>
                <w:szCs w:val="18"/>
              </w:rPr>
            </w:pPr>
            <w:r>
              <w:rPr>
                <w:sz w:val="18"/>
                <w:szCs w:val="18"/>
              </w:rPr>
              <w:t>Index AUTO / ECO automatickou volbou parametrů čerpadla v závislosti na stavu CO</w:t>
            </w:r>
          </w:p>
        </w:tc>
        <w:tc>
          <w:tcPr>
            <w:tcW w:w="1036" w:type="dxa"/>
            <w:tcBorders/>
            <w:shd w:fill="auto" w:val="clear"/>
            <w:vAlign w:val="center"/>
          </w:tcPr>
          <w:p>
            <w:pPr>
              <w:pStyle w:val="NoSpacing"/>
              <w:spacing w:lineRule="auto" w:line="240" w:before="0" w:after="0"/>
              <w:jc w:val="center"/>
              <w:rPr>
                <w:sz w:val="18"/>
                <w:szCs w:val="18"/>
              </w:rPr>
            </w:pPr>
            <w:r>
              <w:rPr>
                <w:sz w:val="18"/>
                <w:szCs w:val="18"/>
                <w:lang w:eastAsia="pl-PL"/>
              </w:rPr>
              <w:t>ECO</w:t>
            </w:r>
          </w:p>
        </w:tc>
      </w:tr>
      <w:tr>
        <w:trPr/>
        <w:tc>
          <w:tcPr>
            <w:tcW w:w="6804" w:type="dxa"/>
            <w:tcBorders/>
            <w:shd w:fill="auto" w:val="clear"/>
          </w:tcPr>
          <w:p>
            <w:pPr>
              <w:pStyle w:val="NoSpacing"/>
              <w:spacing w:lineRule="auto" w:line="240" w:before="0" w:after="0"/>
              <w:rPr>
                <w:sz w:val="18"/>
                <w:szCs w:val="18"/>
              </w:rPr>
            </w:pPr>
            <w:r>
              <w:rPr>
                <w:sz w:val="18"/>
                <w:szCs w:val="18"/>
              </w:rPr>
              <w:t>Měnící se režimy</w:t>
            </w:r>
          </w:p>
        </w:tc>
        <w:tc>
          <w:tcPr>
            <w:tcW w:w="1036" w:type="dxa"/>
            <w:tcBorders/>
            <w:shd w:fill="auto" w:val="clear"/>
            <w:vAlign w:val="center"/>
          </w:tcPr>
          <w:p>
            <w:pPr>
              <w:pStyle w:val="NoSpacing"/>
              <w:spacing w:lineRule="auto" w:line="240" w:before="0" w:after="0"/>
              <w:jc w:val="center"/>
              <w:rPr>
                <w:sz w:val="18"/>
                <w:szCs w:val="18"/>
              </w:rPr>
            </w:pPr>
            <w:r>
              <w:rPr/>
              <mc:AlternateContent>
                <mc:Choice Requires="wps">
                  <w:drawing>
                    <wp:inline distT="0" distB="0" distL="0" distR="0">
                      <wp:extent cx="267335" cy="283210"/>
                      <wp:effectExtent l="0" t="0" r="0" b="0"/>
                      <wp:docPr id="23" name="przycisk 1.jpg"/>
                      <a:graphic xmlns:a="http://schemas.openxmlformats.org/drawingml/2006/main">
                        <a:graphicData uri="http://schemas.openxmlformats.org/drawingml/2006/picture">
                          <pic:pic xmlns:pic="http://schemas.openxmlformats.org/drawingml/2006/picture">
                            <pic:nvPicPr>
                              <pic:cNvPr id="1" name="przycisk 1.jpg" descr=""/>
                              <pic:cNvPicPr/>
                            </pic:nvPicPr>
                            <pic:blipFill>
                              <a:blip r:embed="rId24"/>
                              <a:stretch/>
                            </pic:blipFill>
                            <pic:spPr>
                              <a:xfrm flipH="1" rot="10800000">
                                <a:off x="0" y="0"/>
                                <a:ext cx="266760" cy="282600"/>
                              </a:xfrm>
                              <a:prstGeom prst="rect">
                                <a:avLst/>
                              </a:prstGeom>
                              <a:ln>
                                <a:noFill/>
                              </a:ln>
                            </pic:spPr>
                          </pic:pic>
                        </a:graphicData>
                      </a:graphic>
                    </wp:inline>
                  </w:drawing>
                </mc:Choice>
                <mc:Fallback>
                  <w:pict>
                    <v:shape id="shape_0" ID="przycisk 1.jpg" stroked="f" style="position:absolute;margin-left:0pt;margin-top:-22.3pt;width:20.95pt;height:22.2pt;rotation:180;mso-position-vertical:top" type="shapetype_75">
                      <v:imagedata r:id="rId25" o:detectmouseclick="t"/>
                      <w10:wrap type="none"/>
                      <v:stroke color="#3465a4" joinstyle="round" endcap="flat"/>
                    </v:shape>
                  </w:pict>
                </mc:Fallback>
              </mc:AlternateContent>
            </w:r>
          </w:p>
        </w:tc>
      </w:tr>
      <w:tr>
        <w:trPr/>
        <w:tc>
          <w:tcPr>
            <w:tcW w:w="6804" w:type="dxa"/>
            <w:tcBorders/>
            <w:shd w:fill="auto" w:val="clear"/>
          </w:tcPr>
          <w:p>
            <w:pPr>
              <w:pStyle w:val="NoSpacing"/>
              <w:spacing w:lineRule="auto" w:line="240" w:before="0" w:after="0"/>
              <w:rPr>
                <w:sz w:val="18"/>
                <w:szCs w:val="18"/>
              </w:rPr>
            </w:pPr>
            <w:r>
              <w:rPr>
                <w:sz w:val="18"/>
                <w:szCs w:val="18"/>
              </w:rPr>
              <w:t>Indikátor provozu wg.charakterystyki proporcionálního tlaku</w:t>
            </w:r>
          </w:p>
        </w:tc>
        <w:tc>
          <w:tcPr>
            <w:tcW w:w="1036" w:type="dxa"/>
            <w:tcBorders/>
            <w:shd w:fill="auto" w:val="clear"/>
            <w:vAlign w:val="center"/>
          </w:tcPr>
          <w:p>
            <w:pPr>
              <w:pStyle w:val="NoSpacing"/>
              <w:spacing w:lineRule="auto" w:line="240" w:before="0" w:after="0"/>
              <w:jc w:val="center"/>
              <w:rPr>
                <w:sz w:val="18"/>
                <w:szCs w:val="18"/>
                <w:vertAlign w:val="subscript"/>
              </w:rPr>
            </w:pPr>
            <w:r>
              <w:rPr>
                <w:sz w:val="18"/>
                <w:szCs w:val="18"/>
                <w:lang w:eastAsia="pl-PL"/>
              </w:rPr>
              <w:t>PP1, PP2</w:t>
            </w:r>
          </w:p>
        </w:tc>
      </w:tr>
      <w:tr>
        <w:trPr/>
        <w:tc>
          <w:tcPr>
            <w:tcW w:w="6804" w:type="dxa"/>
            <w:tcBorders/>
            <w:shd w:fill="auto" w:val="clear"/>
          </w:tcPr>
          <w:p>
            <w:pPr>
              <w:pStyle w:val="NoSpacing"/>
              <w:spacing w:lineRule="auto" w:line="240" w:before="0" w:after="0"/>
              <w:rPr>
                <w:sz w:val="18"/>
                <w:szCs w:val="18"/>
              </w:rPr>
            </w:pPr>
            <w:r>
              <w:rPr>
                <w:sz w:val="18"/>
                <w:szCs w:val="18"/>
              </w:rPr>
              <w:t>Indikátory pracovat wg.charakterystyki konstantní tlak</w:t>
            </w:r>
          </w:p>
        </w:tc>
        <w:tc>
          <w:tcPr>
            <w:tcW w:w="1036" w:type="dxa"/>
            <w:tcBorders/>
            <w:shd w:fill="auto" w:val="clear"/>
            <w:vAlign w:val="center"/>
          </w:tcPr>
          <w:p>
            <w:pPr>
              <w:pStyle w:val="NoSpacing"/>
              <w:spacing w:lineRule="auto" w:line="240" w:before="0" w:after="0"/>
              <w:jc w:val="center"/>
              <w:rPr>
                <w:sz w:val="18"/>
                <w:szCs w:val="18"/>
              </w:rPr>
            </w:pPr>
            <w:r>
              <w:rPr>
                <w:sz w:val="18"/>
                <w:szCs w:val="18"/>
                <w:lang w:eastAsia="pl-PL"/>
              </w:rPr>
              <w:t>CP1, CP2</w:t>
            </w:r>
          </w:p>
        </w:tc>
      </w:tr>
      <w:tr>
        <w:trPr/>
        <w:tc>
          <w:tcPr>
            <w:tcW w:w="6804" w:type="dxa"/>
            <w:tcBorders/>
            <w:shd w:fill="auto" w:val="clear"/>
          </w:tcPr>
          <w:p>
            <w:pPr>
              <w:pStyle w:val="NoSpacing"/>
              <w:spacing w:lineRule="auto" w:line="240" w:before="0" w:after="0"/>
              <w:rPr>
                <w:sz w:val="18"/>
                <w:szCs w:val="18"/>
              </w:rPr>
            </w:pPr>
            <w:r>
              <w:rPr>
                <w:sz w:val="18"/>
                <w:szCs w:val="18"/>
              </w:rPr>
              <w:t>Zobrazuje aktuální spotřebu ve wattech</w:t>
            </w:r>
          </w:p>
        </w:tc>
        <w:tc>
          <w:tcPr>
            <w:tcW w:w="1036" w:type="dxa"/>
            <w:tcBorders/>
            <w:shd w:fill="auto" w:val="clear"/>
            <w:vAlign w:val="center"/>
          </w:tcPr>
          <w:p>
            <w:pPr>
              <w:pStyle w:val="NoSpacing"/>
              <w:spacing w:lineRule="auto" w:line="240" w:before="0" w:after="0"/>
              <w:jc w:val="center"/>
              <w:rPr>
                <w:sz w:val="18"/>
                <w:szCs w:val="18"/>
              </w:rPr>
            </w:pPr>
            <w:r>
              <w:rPr/>
              <w:drawing>
                <wp:inline distT="0" distB="0" distL="0" distR="4445">
                  <wp:extent cx="300990" cy="257175"/>
                  <wp:effectExtent l="0" t="0" r="0" b="0"/>
                  <wp:docPr id="24" name="Obraz 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 300" descr=""/>
                          <pic:cNvPicPr>
                            <a:picLocks noChangeAspect="1" noChangeArrowheads="1"/>
                          </pic:cNvPicPr>
                        </pic:nvPicPr>
                        <pic:blipFill>
                          <a:blip r:embed="rId26"/>
                          <a:stretch>
                            <a:fillRect/>
                          </a:stretch>
                        </pic:blipFill>
                        <pic:spPr bwMode="auto">
                          <a:xfrm>
                            <a:off x="0" y="0"/>
                            <a:ext cx="300990" cy="257175"/>
                          </a:xfrm>
                          <a:prstGeom prst="rect">
                            <a:avLst/>
                          </a:prstGeom>
                        </pic:spPr>
                      </pic:pic>
                    </a:graphicData>
                  </a:graphic>
                </wp:inline>
              </w:drawing>
            </w:r>
          </w:p>
        </w:tc>
      </w:tr>
      <w:tr>
        <w:trPr/>
        <w:tc>
          <w:tcPr>
            <w:tcW w:w="6804" w:type="dxa"/>
            <w:tcBorders/>
            <w:shd w:fill="auto" w:val="clear"/>
          </w:tcPr>
          <w:p>
            <w:pPr>
              <w:pStyle w:val="NoSpacing"/>
              <w:spacing w:lineRule="auto" w:line="240" w:before="0" w:after="0"/>
              <w:rPr>
                <w:sz w:val="18"/>
                <w:szCs w:val="18"/>
              </w:rPr>
            </w:pPr>
            <w:r>
              <w:rPr>
                <w:sz w:val="18"/>
                <w:szCs w:val="18"/>
              </w:rPr>
              <w:t>Indikátor provozu se rychlost wg.stałej.</w:t>
            </w:r>
          </w:p>
        </w:tc>
        <w:tc>
          <w:tcPr>
            <w:tcW w:w="1036" w:type="dxa"/>
            <w:tcBorders/>
            <w:shd w:fill="auto" w:val="clear"/>
            <w:vAlign w:val="center"/>
          </w:tcPr>
          <w:p>
            <w:pPr>
              <w:pStyle w:val="NoSpacing"/>
              <w:spacing w:lineRule="auto" w:line="240" w:before="0" w:after="0"/>
              <w:jc w:val="center"/>
              <w:rPr>
                <w:sz w:val="18"/>
                <w:szCs w:val="18"/>
              </w:rPr>
            </w:pPr>
            <w:r>
              <w:rPr>
                <w:sz w:val="18"/>
                <w:szCs w:val="18"/>
                <w:lang w:eastAsia="pl-PL"/>
              </w:rPr>
              <w:t>I, II, III</w:t>
            </w:r>
          </w:p>
        </w:tc>
      </w:tr>
      <w:tr>
        <w:trPr/>
        <w:tc>
          <w:tcPr>
            <w:tcW w:w="6804" w:type="dxa"/>
            <w:tcBorders/>
            <w:shd w:fill="auto" w:val="clear"/>
          </w:tcPr>
          <w:p>
            <w:pPr>
              <w:pStyle w:val="NoSpacing"/>
              <w:spacing w:lineRule="auto" w:line="240" w:before="0" w:after="0"/>
              <w:rPr>
                <w:sz w:val="18"/>
                <w:szCs w:val="18"/>
              </w:rPr>
            </w:pPr>
            <w:r>
              <w:rPr>
                <w:sz w:val="18"/>
                <w:szCs w:val="18"/>
              </w:rPr>
              <w:t>Tlačítko noční režim</w:t>
            </w:r>
          </w:p>
        </w:tc>
        <w:tc>
          <w:tcPr>
            <w:tcW w:w="1036" w:type="dxa"/>
            <w:tcBorders/>
            <w:shd w:fill="auto" w:val="clear"/>
            <w:vAlign w:val="center"/>
          </w:tcPr>
          <w:p>
            <w:pPr>
              <w:pStyle w:val="NoSpacing"/>
              <w:spacing w:lineRule="auto" w:line="240" w:before="0" w:after="0"/>
              <w:jc w:val="center"/>
              <w:rPr>
                <w:sz w:val="18"/>
                <w:szCs w:val="18"/>
              </w:rPr>
            </w:pPr>
            <w:r>
              <w:rPr/>
              <mc:AlternateContent>
                <mc:Choice Requires="wps">
                  <w:drawing>
                    <wp:inline distT="0" distB="0" distL="0" distR="0">
                      <wp:extent cx="282575" cy="287655"/>
                      <wp:effectExtent l="0" t="0" r="0" b="0"/>
                      <wp:docPr id="25" name="przycisk2.jpg"/>
                      <a:graphic xmlns:a="http://schemas.openxmlformats.org/drawingml/2006/main">
                        <a:graphicData uri="http://schemas.openxmlformats.org/drawingml/2006/picture">
                          <pic:pic xmlns:pic="http://schemas.openxmlformats.org/drawingml/2006/picture">
                            <pic:nvPicPr>
                              <pic:cNvPr id="2" name="przycisk2.jpg" descr=""/>
                              <pic:cNvPicPr/>
                            </pic:nvPicPr>
                            <pic:blipFill>
                              <a:blip r:embed="rId27"/>
                              <a:stretch/>
                            </pic:blipFill>
                            <pic:spPr>
                              <a:xfrm flipH="1" rot="10800000">
                                <a:off x="0" y="0"/>
                                <a:ext cx="281880" cy="286920"/>
                              </a:xfrm>
                              <a:prstGeom prst="rect">
                                <a:avLst/>
                              </a:prstGeom>
                              <a:ln>
                                <a:noFill/>
                              </a:ln>
                            </pic:spPr>
                          </pic:pic>
                        </a:graphicData>
                      </a:graphic>
                    </wp:inline>
                  </w:drawing>
                </mc:Choice>
                <mc:Fallback>
                  <w:pict>
                    <v:shape id="shape_0" ID="przycisk2.jpg" stroked="f" style="position:absolute;margin-left:0pt;margin-top:-22.65pt;width:22.15pt;height:22.55pt;rotation:180;mso-position-vertical:top" type="shapetype_75">
                      <v:imagedata r:id="rId28" o:detectmouseclick="t"/>
                      <w10:wrap type="none"/>
                      <v:stroke color="#3465a4" joinstyle="round" endcap="flat"/>
                    </v:shape>
                  </w:pict>
                </mc:Fallback>
              </mc:AlternateContent>
            </w:r>
          </w:p>
        </w:tc>
      </w:tr>
    </w:tbl>
    <w:p>
      <w:pPr>
        <w:pStyle w:val="NoSpacing"/>
        <w:ind w:left="426" w:hanging="0"/>
        <w:rPr/>
      </w:pPr>
      <w:r>
        <w:rPr/>
        <w:br/>
        <w:t>6.2. Postup pro volbu provozního režimu</w:t>
      </w:r>
    </w:p>
    <w:p>
      <w:pPr>
        <w:pStyle w:val="NoSpacing"/>
        <w:ind w:left="851" w:hanging="0"/>
        <w:jc w:val="both"/>
        <w:rPr/>
      </w:pPr>
      <w:r>
        <w:rPr/>
        <w:t>Po spuštění na chvíli všechny indikátory nerozsvítí režim a pak před vypnutím režimu zadání posledního čerpadla v provozu. Jedním stisknutím hlavního vypínače na změnu režimu změnami režimu. v následujícím pořadí:</w:t>
      </w:r>
    </w:p>
    <w:p>
      <w:pPr>
        <w:pStyle w:val="NoSpacing"/>
        <w:ind w:left="851" w:hanging="0"/>
        <w:jc w:val="both"/>
        <w:rPr/>
      </w:pPr>
      <w:r>
        <w:rPr/>
        <w:t>AUTO, PP1, PP2, PP3, CP1, CP2, CP3, III, II, I</w:t>
      </w:r>
    </w:p>
    <w:p>
      <w:pPr>
        <w:pStyle w:val="NoSpacing"/>
        <w:ind w:left="851" w:hanging="0"/>
        <w:jc w:val="both"/>
        <w:rPr/>
      </w:pPr>
      <w:r>
        <w:rPr/>
        <w:t>Např. Jestliže čerpadlo pracuje v CP1 je stisknutí tlačítka</w:t>
      </w:r>
      <w:r>
        <w:rPr/>
        <mc:AlternateContent>
          <mc:Choice Requires="wps">
            <w:drawing>
              <wp:inline distT="0" distB="0" distL="0" distR="0">
                <wp:extent cx="267335" cy="283210"/>
                <wp:effectExtent l="0" t="0" r="0" b="0"/>
                <wp:docPr id="26" name="przycisk 1.jpg"/>
                <a:graphic xmlns:a="http://schemas.openxmlformats.org/drawingml/2006/main">
                  <a:graphicData uri="http://schemas.openxmlformats.org/drawingml/2006/picture">
                    <pic:pic xmlns:pic="http://schemas.openxmlformats.org/drawingml/2006/picture">
                      <pic:nvPicPr>
                        <pic:cNvPr id="3" name="przycisk 1.jpg" descr=""/>
                        <pic:cNvPicPr/>
                      </pic:nvPicPr>
                      <pic:blipFill>
                        <a:blip r:embed="rId24"/>
                        <a:stretch/>
                      </pic:blipFill>
                      <pic:spPr>
                        <a:xfrm flipH="1" rot="10800000">
                          <a:off x="0" y="0"/>
                          <a:ext cx="266760" cy="282600"/>
                        </a:xfrm>
                        <a:prstGeom prst="rect">
                          <a:avLst/>
                        </a:prstGeom>
                        <a:ln>
                          <a:noFill/>
                        </a:ln>
                      </pic:spPr>
                    </pic:pic>
                  </a:graphicData>
                </a:graphic>
              </wp:inline>
            </w:drawing>
          </mc:Choice>
          <mc:Fallback>
            <w:pict>
              <v:shape id="shape_0" ID="przycisk 1.jpg" stroked="f" style="position:absolute;margin-left:0pt;margin-top:-22.3pt;width:20.95pt;height:22.2pt;rotation:180;mso-position-vertical:top" type="shapetype_75">
                <v:imagedata r:id="rId25" o:detectmouseclick="t"/>
                <w10:wrap type="none"/>
                <v:stroke color="#3465a4" joinstyle="round" endcap="flat"/>
              </v:shape>
            </w:pict>
          </mc:Fallback>
        </mc:AlternateContent>
      </w:r>
      <w:r>
        <w:rPr/>
        <w:t>přepne do další na seznamu režimu CP2. Vstup do režimu je signalizováno rozsvícením příslušného indikátoru na panelu.</w:t>
      </w:r>
    </w:p>
    <w:p>
      <w:pPr>
        <w:pStyle w:val="NoSpacing"/>
        <w:ind w:left="851" w:hanging="0"/>
        <w:rPr/>
      </w:pPr>
      <w:r>
        <w:rPr/>
      </w:r>
    </w:p>
    <w:p>
      <w:pPr>
        <w:pStyle w:val="NoSpacing"/>
        <w:numPr>
          <w:ilvl w:val="0"/>
          <w:numId w:val="5"/>
        </w:numPr>
        <w:rPr>
          <w:b/>
          <w:b/>
        </w:rPr>
      </w:pPr>
      <w:r>
        <w:rPr>
          <w:b/>
        </w:rPr>
        <w:t>SELECT Funkce Podle jaký druh INSTALACE</w:t>
      </w:r>
    </w:p>
    <w:p>
      <w:pPr>
        <w:pStyle w:val="NoSpacing"/>
        <w:ind w:left="644" w:hanging="0"/>
        <w:jc w:val="both"/>
        <w:rPr/>
      </w:pPr>
      <w:r>
        <w:rPr/>
        <w:t>Tovární nastavení AUTO (autoadaptacyjny režim v závislosti na stavu CO)</w:t>
      </w:r>
    </w:p>
    <w:p>
      <w:pPr>
        <w:pStyle w:val="NoSpacing"/>
        <w:ind w:left="644" w:hanging="0"/>
        <w:jc w:val="both"/>
        <w:rPr/>
      </w:pPr>
      <w:r>
        <w:rPr/>
        <w:t>Doporučeno, můžete čerpat nastavení v závislosti na typu CO</w:t>
      </w:r>
    </w:p>
    <w:p>
      <w:pPr>
        <w:pStyle w:val="NoSpacing"/>
        <w:ind w:left="644" w:hanging="0"/>
        <w:jc w:val="both"/>
        <w:rPr/>
      </w:pPr>
      <w:r>
        <w:rPr/>
        <w:drawing>
          <wp:anchor behindDoc="0" distT="0" distB="9525" distL="114300" distR="116840" simplePos="0" locked="0" layoutInCell="1" allowOverlap="1" relativeHeight="9">
            <wp:simplePos x="0" y="0"/>
            <wp:positionH relativeFrom="column">
              <wp:posOffset>427355</wp:posOffset>
            </wp:positionH>
            <wp:positionV relativeFrom="paragraph">
              <wp:posOffset>58420</wp:posOffset>
            </wp:positionV>
            <wp:extent cx="1845310" cy="1838325"/>
            <wp:effectExtent l="0" t="0" r="0" b="0"/>
            <wp:wrapTight wrapText="bothSides">
              <wp:wrapPolygon edited="0">
                <wp:start x="-53" y="0"/>
                <wp:lineTo x="-53" y="21438"/>
                <wp:lineTo x="21405" y="21438"/>
                <wp:lineTo x="21405" y="0"/>
                <wp:lineTo x="-53" y="0"/>
              </wp:wrapPolygon>
            </wp:wrapTight>
            <wp:docPr id="27" name="Obraz 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az 303" descr=""/>
                    <pic:cNvPicPr>
                      <a:picLocks noChangeAspect="1" noChangeArrowheads="1"/>
                    </pic:cNvPicPr>
                  </pic:nvPicPr>
                  <pic:blipFill>
                    <a:blip r:embed="rId29"/>
                    <a:stretch>
                      <a:fillRect/>
                    </a:stretch>
                  </pic:blipFill>
                  <pic:spPr bwMode="auto">
                    <a:xfrm>
                      <a:off x="0" y="0"/>
                      <a:ext cx="1845310" cy="1838325"/>
                    </a:xfrm>
                    <a:prstGeom prst="rect">
                      <a:avLst/>
                    </a:prstGeom>
                  </pic:spPr>
                </pic:pic>
              </a:graphicData>
            </a:graphic>
          </wp:anchor>
        </w:drawing>
      </w:r>
    </w:p>
    <w:p>
      <w:pPr>
        <w:pStyle w:val="NoSpacing"/>
        <w:ind w:left="644" w:hanging="0"/>
        <w:jc w:val="both"/>
        <w:rPr/>
      </w:pPr>
      <w:r>
        <w:rPr/>
      </w:r>
    </w:p>
    <w:tbl>
      <w:tblPr>
        <w:tblStyle w:val="Tabela-Siatka"/>
        <w:tblW w:w="7938" w:type="dxa"/>
        <w:jc w:val="left"/>
        <w:tblInd w:w="817" w:type="dxa"/>
        <w:tblCellMar>
          <w:top w:w="0" w:type="dxa"/>
          <w:left w:w="108" w:type="dxa"/>
          <w:bottom w:w="0" w:type="dxa"/>
          <w:right w:w="108" w:type="dxa"/>
        </w:tblCellMar>
        <w:tblLook w:val="04a0"/>
      </w:tblPr>
      <w:tblGrid>
        <w:gridCol w:w="1559"/>
        <w:gridCol w:w="3118"/>
        <w:gridCol w:w="1632"/>
        <w:gridCol w:w="1628"/>
      </w:tblGrid>
      <w:tr>
        <w:trPr>
          <w:trHeight w:val="120" w:hRule="atLeast"/>
        </w:trPr>
        <w:tc>
          <w:tcPr>
            <w:tcW w:w="1559" w:type="dxa"/>
            <w:vMerge w:val="restart"/>
            <w:tcBorders/>
            <w:shd w:fill="auto" w:val="clear"/>
            <w:vAlign w:val="center"/>
          </w:tcPr>
          <w:p>
            <w:pPr>
              <w:pStyle w:val="NoSpacing"/>
              <w:spacing w:lineRule="auto" w:line="240" w:before="0" w:after="0"/>
              <w:jc w:val="center"/>
              <w:rPr>
                <w:sz w:val="16"/>
                <w:szCs w:val="16"/>
              </w:rPr>
            </w:pPr>
            <w:r>
              <w:rPr>
                <w:sz w:val="16"/>
                <w:szCs w:val="16"/>
              </w:rPr>
              <w:t>Výše uvedený symbol režimu</w:t>
            </w:r>
          </w:p>
        </w:tc>
        <w:tc>
          <w:tcPr>
            <w:tcW w:w="3118" w:type="dxa"/>
            <w:vMerge w:val="restart"/>
            <w:tcBorders/>
            <w:shd w:fill="auto" w:val="clear"/>
            <w:vAlign w:val="center"/>
          </w:tcPr>
          <w:p>
            <w:pPr>
              <w:pStyle w:val="NoSpacing"/>
              <w:spacing w:lineRule="auto" w:line="240" w:before="0" w:after="0"/>
              <w:jc w:val="center"/>
              <w:rPr>
                <w:sz w:val="16"/>
                <w:szCs w:val="16"/>
              </w:rPr>
            </w:pPr>
            <w:r>
              <w:rPr>
                <w:sz w:val="16"/>
                <w:szCs w:val="16"/>
              </w:rPr>
              <w:t>Popis systému</w:t>
            </w:r>
          </w:p>
        </w:tc>
        <w:tc>
          <w:tcPr>
            <w:tcW w:w="3260" w:type="dxa"/>
            <w:gridSpan w:val="2"/>
            <w:tcBorders/>
            <w:shd w:fill="auto" w:val="clear"/>
            <w:vAlign w:val="center"/>
          </w:tcPr>
          <w:p>
            <w:pPr>
              <w:pStyle w:val="NoSpacing"/>
              <w:spacing w:lineRule="auto" w:line="240" w:before="0" w:after="0"/>
              <w:jc w:val="center"/>
              <w:rPr>
                <w:sz w:val="16"/>
                <w:szCs w:val="16"/>
              </w:rPr>
            </w:pPr>
            <w:r>
              <w:rPr>
                <w:sz w:val="16"/>
                <w:szCs w:val="16"/>
              </w:rPr>
              <w:t>Nastavte čerpadlo</w:t>
            </w:r>
          </w:p>
        </w:tc>
      </w:tr>
      <w:tr>
        <w:trPr>
          <w:trHeight w:val="158" w:hRule="atLeast"/>
        </w:trPr>
        <w:tc>
          <w:tcPr>
            <w:tcW w:w="1559" w:type="dxa"/>
            <w:vMerge w:val="continue"/>
            <w:tcBorders/>
            <w:shd w:fill="auto" w:val="clear"/>
            <w:vAlign w:val="center"/>
          </w:tcPr>
          <w:p>
            <w:pPr>
              <w:pStyle w:val="NoSpacing"/>
              <w:spacing w:lineRule="auto" w:line="240" w:before="0" w:after="0"/>
              <w:jc w:val="center"/>
              <w:rPr>
                <w:sz w:val="16"/>
                <w:szCs w:val="16"/>
              </w:rPr>
            </w:pPr>
            <w:r>
              <w:rPr>
                <w:sz w:val="16"/>
                <w:szCs w:val="16"/>
              </w:rPr>
            </w:r>
          </w:p>
        </w:tc>
        <w:tc>
          <w:tcPr>
            <w:tcW w:w="3118" w:type="dxa"/>
            <w:vMerge w:val="continue"/>
            <w:tcBorders/>
            <w:shd w:fill="auto" w:val="clear"/>
            <w:vAlign w:val="center"/>
          </w:tcPr>
          <w:p>
            <w:pPr>
              <w:pStyle w:val="NoSpacing"/>
              <w:spacing w:lineRule="auto" w:line="240" w:before="0" w:after="0"/>
              <w:jc w:val="center"/>
              <w:rPr>
                <w:sz w:val="16"/>
                <w:szCs w:val="16"/>
              </w:rPr>
            </w:pPr>
            <w:r>
              <w:rPr>
                <w:sz w:val="16"/>
                <w:szCs w:val="16"/>
              </w:rPr>
            </w:r>
          </w:p>
        </w:tc>
        <w:tc>
          <w:tcPr>
            <w:tcW w:w="1632" w:type="dxa"/>
            <w:tcBorders/>
            <w:shd w:fill="auto" w:val="clear"/>
            <w:vAlign w:val="center"/>
          </w:tcPr>
          <w:p>
            <w:pPr>
              <w:pStyle w:val="NoSpacing"/>
              <w:spacing w:lineRule="auto" w:line="240" w:before="0" w:after="0"/>
              <w:jc w:val="center"/>
              <w:rPr>
                <w:sz w:val="16"/>
                <w:szCs w:val="16"/>
              </w:rPr>
            </w:pPr>
            <w:r>
              <w:rPr>
                <w:sz w:val="16"/>
                <w:szCs w:val="16"/>
              </w:rPr>
              <w:t>optimální</w:t>
            </w:r>
          </w:p>
        </w:tc>
        <w:tc>
          <w:tcPr>
            <w:tcW w:w="1628" w:type="dxa"/>
            <w:tcBorders/>
            <w:shd w:fill="auto" w:val="clear"/>
            <w:vAlign w:val="center"/>
          </w:tcPr>
          <w:p>
            <w:pPr>
              <w:pStyle w:val="NoSpacing"/>
              <w:spacing w:lineRule="auto" w:line="240" w:before="0" w:after="0"/>
              <w:jc w:val="center"/>
              <w:rPr>
                <w:sz w:val="16"/>
                <w:szCs w:val="16"/>
              </w:rPr>
            </w:pPr>
            <w:r>
              <w:rPr>
                <w:sz w:val="16"/>
                <w:szCs w:val="16"/>
              </w:rPr>
              <w:t>jiné přijatelné</w:t>
            </w:r>
          </w:p>
        </w:tc>
      </w:tr>
      <w:tr>
        <w:trPr/>
        <w:tc>
          <w:tcPr>
            <w:tcW w:w="1559" w:type="dxa"/>
            <w:tcBorders/>
            <w:shd w:fill="auto" w:val="clear"/>
            <w:vAlign w:val="center"/>
          </w:tcPr>
          <w:p>
            <w:pPr>
              <w:pStyle w:val="NoSpacing"/>
              <w:spacing w:lineRule="auto" w:line="240" w:before="0" w:after="0"/>
              <w:jc w:val="center"/>
              <w:rPr>
                <w:sz w:val="16"/>
                <w:szCs w:val="16"/>
              </w:rPr>
            </w:pPr>
            <w:r>
              <w:rPr>
                <w:sz w:val="16"/>
                <w:szCs w:val="16"/>
              </w:rPr>
              <w:t>A</w:t>
            </w:r>
          </w:p>
        </w:tc>
        <w:tc>
          <w:tcPr>
            <w:tcW w:w="3118" w:type="dxa"/>
            <w:tcBorders/>
            <w:shd w:fill="auto" w:val="clear"/>
            <w:vAlign w:val="center"/>
          </w:tcPr>
          <w:p>
            <w:pPr>
              <w:pStyle w:val="NoSpacing"/>
              <w:spacing w:lineRule="auto" w:line="240" w:before="0" w:after="0"/>
              <w:jc w:val="center"/>
              <w:rPr>
                <w:sz w:val="16"/>
                <w:szCs w:val="16"/>
              </w:rPr>
            </w:pPr>
            <w:r>
              <w:rPr>
                <w:sz w:val="16"/>
                <w:szCs w:val="16"/>
              </w:rPr>
              <w:t>podlahové topení</w:t>
            </w:r>
          </w:p>
        </w:tc>
        <w:tc>
          <w:tcPr>
            <w:tcW w:w="1632" w:type="dxa"/>
            <w:tcBorders/>
            <w:shd w:fill="auto" w:val="clear"/>
            <w:vAlign w:val="center"/>
          </w:tcPr>
          <w:p>
            <w:pPr>
              <w:pStyle w:val="NoSpacing"/>
              <w:spacing w:lineRule="auto" w:line="240" w:before="0" w:after="0"/>
              <w:jc w:val="center"/>
              <w:rPr>
                <w:sz w:val="16"/>
                <w:szCs w:val="16"/>
              </w:rPr>
            </w:pPr>
            <w:r>
              <w:rPr>
                <w:sz w:val="16"/>
                <w:szCs w:val="16"/>
              </w:rPr>
              <w:t>AUTO / ECO</w:t>
            </w:r>
          </w:p>
        </w:tc>
        <w:tc>
          <w:tcPr>
            <w:tcW w:w="1628" w:type="dxa"/>
            <w:tcBorders/>
            <w:shd w:fill="auto" w:val="clear"/>
            <w:vAlign w:val="center"/>
          </w:tcPr>
          <w:p>
            <w:pPr>
              <w:pStyle w:val="NoSpacing"/>
              <w:spacing w:lineRule="auto" w:line="240" w:before="0" w:after="0"/>
              <w:jc w:val="center"/>
              <w:rPr>
                <w:sz w:val="16"/>
                <w:szCs w:val="16"/>
              </w:rPr>
            </w:pPr>
            <w:r>
              <w:rPr>
                <w:sz w:val="16"/>
                <w:szCs w:val="16"/>
              </w:rPr>
              <w:t>CP1 / CP2</w:t>
            </w:r>
          </w:p>
        </w:tc>
      </w:tr>
      <w:tr>
        <w:trPr/>
        <w:tc>
          <w:tcPr>
            <w:tcW w:w="1559" w:type="dxa"/>
            <w:tcBorders/>
            <w:shd w:fill="auto" w:val="clear"/>
            <w:vAlign w:val="center"/>
          </w:tcPr>
          <w:p>
            <w:pPr>
              <w:pStyle w:val="NoSpacing"/>
              <w:spacing w:lineRule="auto" w:line="240" w:before="0" w:after="0"/>
              <w:jc w:val="center"/>
              <w:rPr>
                <w:sz w:val="16"/>
                <w:szCs w:val="16"/>
              </w:rPr>
            </w:pPr>
            <w:r>
              <w:rPr>
                <w:sz w:val="16"/>
                <w:szCs w:val="16"/>
              </w:rPr>
              <w:t>B</w:t>
            </w:r>
          </w:p>
        </w:tc>
        <w:tc>
          <w:tcPr>
            <w:tcW w:w="3118" w:type="dxa"/>
            <w:tcBorders/>
            <w:shd w:fill="auto" w:val="clear"/>
            <w:vAlign w:val="center"/>
          </w:tcPr>
          <w:p>
            <w:pPr>
              <w:pStyle w:val="NoSpacing"/>
              <w:spacing w:lineRule="auto" w:line="240" w:before="0" w:after="0"/>
              <w:jc w:val="center"/>
              <w:rPr>
                <w:sz w:val="16"/>
                <w:szCs w:val="16"/>
              </w:rPr>
            </w:pPr>
            <w:r>
              <w:rPr>
                <w:sz w:val="16"/>
                <w:szCs w:val="16"/>
              </w:rPr>
              <w:t xml:space="preserve">Chladič se samostatnou přívodní trubice a samostatné trubice výbojky </w:t>
            </w:r>
          </w:p>
        </w:tc>
        <w:tc>
          <w:tcPr>
            <w:tcW w:w="1632" w:type="dxa"/>
            <w:tcBorders/>
            <w:shd w:fill="auto" w:val="clear"/>
            <w:vAlign w:val="center"/>
          </w:tcPr>
          <w:p>
            <w:pPr>
              <w:pStyle w:val="NoSpacing"/>
              <w:spacing w:lineRule="auto" w:line="240" w:before="0" w:after="0"/>
              <w:jc w:val="center"/>
              <w:rPr>
                <w:sz w:val="16"/>
                <w:szCs w:val="16"/>
              </w:rPr>
            </w:pPr>
            <w:r>
              <w:rPr>
                <w:sz w:val="16"/>
                <w:szCs w:val="16"/>
              </w:rPr>
              <w:t>AUTO / ECO</w:t>
            </w:r>
          </w:p>
        </w:tc>
        <w:tc>
          <w:tcPr>
            <w:tcW w:w="1628" w:type="dxa"/>
            <w:tcBorders/>
            <w:shd w:fill="auto" w:val="clear"/>
            <w:vAlign w:val="center"/>
          </w:tcPr>
          <w:p>
            <w:pPr>
              <w:pStyle w:val="NoSpacing"/>
              <w:spacing w:lineRule="auto" w:line="240" w:before="0" w:after="0"/>
              <w:jc w:val="center"/>
              <w:rPr>
                <w:sz w:val="16"/>
                <w:szCs w:val="16"/>
              </w:rPr>
            </w:pPr>
            <w:r>
              <w:rPr>
                <w:sz w:val="16"/>
                <w:szCs w:val="16"/>
              </w:rPr>
              <w:t>PP1 / PP2</w:t>
            </w:r>
          </w:p>
        </w:tc>
      </w:tr>
      <w:tr>
        <w:trPr/>
        <w:tc>
          <w:tcPr>
            <w:tcW w:w="1559" w:type="dxa"/>
            <w:tcBorders/>
            <w:shd w:fill="auto" w:val="clear"/>
            <w:vAlign w:val="center"/>
          </w:tcPr>
          <w:p>
            <w:pPr>
              <w:pStyle w:val="NoSpacing"/>
              <w:spacing w:lineRule="auto" w:line="240" w:before="0" w:after="0"/>
              <w:jc w:val="center"/>
              <w:rPr>
                <w:sz w:val="16"/>
                <w:szCs w:val="16"/>
              </w:rPr>
            </w:pPr>
            <w:r>
              <w:rPr>
                <w:sz w:val="16"/>
                <w:szCs w:val="16"/>
              </w:rPr>
              <w:t>C</w:t>
            </w:r>
          </w:p>
        </w:tc>
        <w:tc>
          <w:tcPr>
            <w:tcW w:w="3118" w:type="dxa"/>
            <w:tcBorders/>
            <w:shd w:fill="auto" w:val="clear"/>
            <w:vAlign w:val="center"/>
          </w:tcPr>
          <w:p>
            <w:pPr>
              <w:pStyle w:val="NoSpacing"/>
              <w:spacing w:lineRule="auto" w:line="240" w:before="0" w:after="0"/>
              <w:jc w:val="center"/>
              <w:rPr>
                <w:sz w:val="16"/>
                <w:szCs w:val="16"/>
              </w:rPr>
            </w:pPr>
            <w:r>
              <w:rPr>
                <w:sz w:val="16"/>
                <w:szCs w:val="16"/>
              </w:rPr>
              <w:t>Tělo se zásobou periferní trubky a zaváděním (sériové)</w:t>
            </w:r>
          </w:p>
        </w:tc>
        <w:tc>
          <w:tcPr>
            <w:tcW w:w="1632" w:type="dxa"/>
            <w:tcBorders/>
            <w:shd w:fill="auto" w:val="clear"/>
            <w:vAlign w:val="center"/>
          </w:tcPr>
          <w:p>
            <w:pPr>
              <w:pStyle w:val="NoSpacing"/>
              <w:spacing w:lineRule="auto" w:line="240" w:before="0" w:after="0"/>
              <w:jc w:val="center"/>
              <w:rPr>
                <w:sz w:val="16"/>
                <w:szCs w:val="16"/>
              </w:rPr>
            </w:pPr>
            <w:r>
              <w:rPr>
                <w:sz w:val="16"/>
                <w:szCs w:val="16"/>
              </w:rPr>
              <w:t>PP1</w:t>
            </w:r>
          </w:p>
        </w:tc>
        <w:tc>
          <w:tcPr>
            <w:tcW w:w="1628" w:type="dxa"/>
            <w:tcBorders/>
            <w:shd w:fill="auto" w:val="clear"/>
            <w:vAlign w:val="center"/>
          </w:tcPr>
          <w:p>
            <w:pPr>
              <w:pStyle w:val="NoSpacing"/>
              <w:spacing w:lineRule="auto" w:line="240" w:before="0" w:after="0"/>
              <w:jc w:val="center"/>
              <w:rPr>
                <w:sz w:val="16"/>
                <w:szCs w:val="16"/>
              </w:rPr>
            </w:pPr>
            <w:r>
              <w:rPr>
                <w:sz w:val="16"/>
                <w:szCs w:val="16"/>
              </w:rPr>
              <w:t>PP1 / PP2</w:t>
            </w:r>
          </w:p>
        </w:tc>
      </w:tr>
    </w:tbl>
    <w:p>
      <w:pPr>
        <w:pStyle w:val="NoSpacing"/>
        <w:ind w:left="644" w:hanging="0"/>
        <w:jc w:val="both"/>
        <w:rPr/>
      </w:pPr>
      <w:r>
        <w:rPr/>
        <w:t xml:space="preserve">• </w:t>
      </w:r>
      <w:r>
        <w:rPr/>
        <w:t>AUTO / ECO (AutoAdaptation) automaticky přizpůsobuje výkon čerpadla v závislosti na aktuálním požadavku tepelného systému. Vzhledem k tomu, výkon se postupně upraví, je vhodné ponechat AUTO / ECO (automatické nastavení), nejméně jeden týden před změnou čerpadlo. • Změna čerpadlo s optimálním nastavením pro další volitelná ustawieniaInstalacja topného systému je otevřený systém, je nemožné, aby se dosáhlo optimální režim během několika minut nebo hodin. -Li optimální nastavení pumpy nebude dosaženo dokonalé rozložení tepla v každé místnosti, změňte nastavení čerpadla k druhému. • Vztah mezi nastavením a výkonové křivky čerpadla, viz kapitola 9</w:t>
      </w:r>
    </w:p>
    <w:p>
      <w:pPr>
        <w:pStyle w:val="NoSpacing"/>
        <w:numPr>
          <w:ilvl w:val="0"/>
          <w:numId w:val="5"/>
        </w:numPr>
        <w:jc w:val="both"/>
        <w:rPr>
          <w:b/>
          <w:b/>
        </w:rPr>
      </w:pPr>
      <w:r>
        <w:rPr>
          <w:b/>
        </w:rPr>
        <w:t>Zapnutím čerpadla</w:t>
      </w:r>
    </w:p>
    <w:p>
      <w:pPr>
        <w:pStyle w:val="NoSpacing"/>
        <w:numPr>
          <w:ilvl w:val="1"/>
          <w:numId w:val="5"/>
        </w:numPr>
        <w:jc w:val="both"/>
        <w:rPr/>
      </w:pPr>
      <w:r>
        <w:rPr/>
        <w:t>Před spuštěním čerpadla, zkontrolujte, zda je systém naplněn tekutým topným médiem (), systém se odvětrá regulaci, je tlak na vstupu do čerpadla dosáhne minimální vstupní tlak podle potřeby (viz část 3).</w:t>
      </w:r>
    </w:p>
    <w:p>
      <w:pPr>
        <w:pStyle w:val="NoSpacing"/>
        <w:jc w:val="both"/>
        <w:rPr/>
      </w:pPr>
      <w:r>
        <w:rPr/>
      </w:r>
    </w:p>
    <w:p>
      <w:pPr>
        <w:pStyle w:val="NoSpacing"/>
        <w:jc w:val="both"/>
        <w:rPr/>
      </w:pPr>
      <w:r>
        <w:rPr/>
      </w:r>
    </w:p>
    <w:p>
      <w:pPr>
        <w:pStyle w:val="NoSpacing"/>
        <w:jc w:val="both"/>
        <w:rPr/>
      </w:pPr>
      <w:r>
        <w:rPr/>
      </w:r>
    </w:p>
    <w:p>
      <w:pPr>
        <w:pStyle w:val="NoSpacing"/>
        <w:jc w:val="both"/>
        <w:rPr/>
      </w:pPr>
      <w:r>
        <w:rPr/>
      </w:r>
    </w:p>
    <w:p>
      <w:pPr>
        <w:pStyle w:val="ListParagraph"/>
        <w:numPr>
          <w:ilvl w:val="1"/>
          <w:numId w:val="5"/>
        </w:numPr>
        <w:jc w:val="both"/>
        <w:rPr/>
      </w:pPr>
      <w:r>
        <w:rPr/>
        <w:t>Krvácení</w:t>
      </w:r>
    </w:p>
    <w:p>
      <w:pPr>
        <w:pStyle w:val="ListParagraph"/>
        <w:ind w:left="1000" w:hanging="0"/>
        <w:jc w:val="both"/>
        <w:rPr/>
      </w:pPr>
      <w:r>
        <w:rPr/>
        <w:t>Před prvním startem a před každou topnou sezónu je třeba odvzdušnit čerpadlo. To se může provést spuštěním čerpadla na nejvyšší rychlostní stupeň 3 a uvolnění kování. Pokud je zastávka otvor z výsledného extraktu vzduch a voda poteče pouze do otvoru, šroubovací uzávěr s předem stanoveným těsněním na to.</w:t>
      </w:r>
    </w:p>
    <w:p>
      <w:pPr>
        <w:pStyle w:val="Normal"/>
        <w:spacing w:lineRule="auto" w:line="240" w:before="0" w:after="0"/>
        <w:ind w:left="993" w:hanging="0"/>
        <w:rPr/>
      </w:pPr>
      <w:r>
        <w:rPr/>
      </w:r>
    </w:p>
    <w:p>
      <w:pPr>
        <w:pStyle w:val="Normal"/>
        <w:spacing w:lineRule="auto" w:line="240" w:before="0" w:after="0"/>
        <w:ind w:left="993" w:hanging="0"/>
        <w:rPr/>
      </w:pPr>
      <w:r>
        <w:rPr/>
      </w:r>
    </w:p>
    <w:p>
      <w:pPr>
        <w:pStyle w:val="Normal"/>
        <w:spacing w:lineRule="auto" w:line="240" w:before="0" w:after="0"/>
        <w:ind w:left="993" w:hanging="0"/>
        <w:rPr/>
      </w:pPr>
      <w:r>
        <w:rPr/>
      </w:r>
    </w:p>
    <w:p>
      <w:pPr>
        <w:pStyle w:val="Normal"/>
        <w:spacing w:lineRule="auto" w:line="240" w:before="0" w:after="0"/>
        <w:ind w:left="993" w:hanging="0"/>
        <w:rPr/>
      </w:pPr>
      <w:r>
        <w:rPr/>
      </w:r>
    </w:p>
    <w:p>
      <w:pPr>
        <w:pStyle w:val="Normal"/>
        <w:spacing w:lineRule="auto" w:line="240" w:before="0" w:after="0"/>
        <w:ind w:left="993" w:hanging="0"/>
        <w:rPr/>
      </w:pPr>
      <w:r>
        <w:rPr/>
      </w:r>
    </w:p>
    <w:p>
      <w:pPr>
        <w:pStyle w:val="NoSpacing"/>
        <w:numPr>
          <w:ilvl w:val="0"/>
          <w:numId w:val="5"/>
        </w:numPr>
        <w:rPr>
          <w:b/>
          <w:b/>
        </w:rPr>
      </w:pPr>
      <w:r>
        <w:rPr>
          <w:b/>
        </w:rPr>
        <w:t>Vztah mezi nastavování parametrů čerpadla a pracuje CHARAKTERISTIKA</w:t>
      </w:r>
    </w:p>
    <w:p>
      <w:pPr>
        <w:pStyle w:val="NoSpacing"/>
        <w:ind w:left="644" w:hanging="0"/>
        <w:rPr/>
      </w:pPr>
      <w:r>
        <w:rPr/>
        <w:drawing>
          <wp:inline distT="0" distB="0" distL="0" distR="0">
            <wp:extent cx="4343400" cy="2040890"/>
            <wp:effectExtent l="0" t="0" r="0" b="0"/>
            <wp:docPr id="28" name="Obraz 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raz 311" descr=""/>
                    <pic:cNvPicPr>
                      <a:picLocks noChangeAspect="1" noChangeArrowheads="1"/>
                    </pic:cNvPicPr>
                  </pic:nvPicPr>
                  <pic:blipFill>
                    <a:blip r:embed="rId30"/>
                    <a:stretch>
                      <a:fillRect/>
                    </a:stretch>
                  </pic:blipFill>
                  <pic:spPr bwMode="auto">
                    <a:xfrm>
                      <a:off x="0" y="0"/>
                      <a:ext cx="4343400" cy="2040890"/>
                    </a:xfrm>
                    <a:prstGeom prst="rect">
                      <a:avLst/>
                    </a:prstGeom>
                  </pic:spPr>
                </pic:pic>
              </a:graphicData>
            </a:graphic>
          </wp:inline>
        </w:drawing>
      </w:r>
    </w:p>
    <w:p>
      <w:pPr>
        <w:pStyle w:val="NoSpacing"/>
        <w:ind w:left="644" w:hanging="0"/>
        <w:rPr/>
      </w:pPr>
      <w:r>
        <w:rPr/>
      </w:r>
    </w:p>
    <w:tbl>
      <w:tblPr>
        <w:tblStyle w:val="Tabela-Siatka"/>
        <w:tblW w:w="8644" w:type="dxa"/>
        <w:jc w:val="left"/>
        <w:tblInd w:w="644" w:type="dxa"/>
        <w:tblCellMar>
          <w:top w:w="0" w:type="dxa"/>
          <w:left w:w="108" w:type="dxa"/>
          <w:bottom w:w="0" w:type="dxa"/>
          <w:right w:w="108" w:type="dxa"/>
        </w:tblCellMar>
        <w:tblLook w:val="04a0"/>
      </w:tblPr>
      <w:tblGrid>
        <w:gridCol w:w="1874"/>
        <w:gridCol w:w="2551"/>
        <w:gridCol w:w="4219"/>
      </w:tblGrid>
      <w:tr>
        <w:trPr/>
        <w:tc>
          <w:tcPr>
            <w:tcW w:w="1874" w:type="dxa"/>
            <w:tcBorders/>
            <w:shd w:fill="auto" w:val="clear"/>
          </w:tcPr>
          <w:p>
            <w:pPr>
              <w:pStyle w:val="NoSpacing"/>
              <w:spacing w:lineRule="auto" w:line="240" w:before="0" w:after="0"/>
              <w:rPr>
                <w:sz w:val="12"/>
                <w:szCs w:val="12"/>
              </w:rPr>
            </w:pPr>
            <w:r>
              <w:rPr>
                <w:sz w:val="12"/>
                <w:szCs w:val="12"/>
              </w:rPr>
              <w:t>setup</w:t>
            </w:r>
          </w:p>
        </w:tc>
        <w:tc>
          <w:tcPr>
            <w:tcW w:w="2551" w:type="dxa"/>
            <w:tcBorders/>
            <w:shd w:fill="auto" w:val="clear"/>
          </w:tcPr>
          <w:p>
            <w:pPr>
              <w:pStyle w:val="NoSpacing"/>
              <w:spacing w:lineRule="auto" w:line="240" w:before="0" w:after="0"/>
              <w:rPr>
                <w:sz w:val="12"/>
                <w:szCs w:val="12"/>
              </w:rPr>
            </w:pPr>
            <w:r>
              <w:rPr>
                <w:sz w:val="12"/>
                <w:szCs w:val="12"/>
              </w:rPr>
              <w:t>Charakteristická křivka čerpadla</w:t>
            </w:r>
          </w:p>
        </w:tc>
        <w:tc>
          <w:tcPr>
            <w:tcW w:w="4219" w:type="dxa"/>
            <w:tcBorders/>
            <w:shd w:fill="auto" w:val="clear"/>
          </w:tcPr>
          <w:p>
            <w:pPr>
              <w:pStyle w:val="NoSpacing"/>
              <w:spacing w:lineRule="auto" w:line="240" w:before="0" w:after="0"/>
              <w:rPr>
                <w:sz w:val="12"/>
                <w:szCs w:val="12"/>
              </w:rPr>
            </w:pPr>
            <w:r>
              <w:rPr>
                <w:sz w:val="12"/>
                <w:szCs w:val="12"/>
              </w:rPr>
              <w:t>funkce</w:t>
            </w:r>
          </w:p>
        </w:tc>
      </w:tr>
      <w:tr>
        <w:trPr/>
        <w:tc>
          <w:tcPr>
            <w:tcW w:w="1874" w:type="dxa"/>
            <w:tcBorders/>
            <w:shd w:fill="auto" w:val="clear"/>
          </w:tcPr>
          <w:p>
            <w:pPr>
              <w:pStyle w:val="NoSpacing"/>
              <w:spacing w:lineRule="auto" w:line="240" w:before="0" w:after="0"/>
              <w:rPr>
                <w:sz w:val="12"/>
                <w:szCs w:val="12"/>
              </w:rPr>
            </w:pPr>
            <w:r>
              <w:rPr>
                <w:sz w:val="12"/>
                <w:szCs w:val="12"/>
              </w:rPr>
              <w:t>AUTO (výchozí)</w:t>
            </w:r>
          </w:p>
        </w:tc>
        <w:tc>
          <w:tcPr>
            <w:tcW w:w="2551" w:type="dxa"/>
            <w:tcBorders/>
            <w:shd w:fill="auto" w:val="clear"/>
          </w:tcPr>
          <w:p>
            <w:pPr>
              <w:pStyle w:val="NoSpacing"/>
              <w:spacing w:lineRule="auto" w:line="240" w:before="0" w:after="0"/>
              <w:rPr>
                <w:sz w:val="12"/>
                <w:szCs w:val="12"/>
              </w:rPr>
            </w:pPr>
            <w:r>
              <w:rPr>
                <w:sz w:val="12"/>
                <w:szCs w:val="12"/>
              </w:rPr>
              <w:t>Od nejvyšší k nejnižší proporcionální tlakové charakteristiky</w:t>
            </w:r>
          </w:p>
        </w:tc>
        <w:tc>
          <w:tcPr>
            <w:tcW w:w="4219" w:type="dxa"/>
            <w:tcBorders/>
            <w:shd w:fill="auto" w:val="clear"/>
          </w:tcPr>
          <w:p>
            <w:pPr>
              <w:pStyle w:val="NoSpacing"/>
              <w:spacing w:lineRule="auto" w:line="240" w:before="0" w:after="0"/>
              <w:rPr>
                <w:sz w:val="12"/>
                <w:szCs w:val="12"/>
              </w:rPr>
            </w:pPr>
            <w:r>
              <w:rPr>
                <w:sz w:val="12"/>
                <w:szCs w:val="12"/>
              </w:rPr>
              <w:t>- AUTO automaticky reguluje výkon čerpadla v určitém zakresie.- upravuje výkon čerpadla, v závislosti na velikosti systému;</w:t>
            </w:r>
          </w:p>
          <w:p>
            <w:pPr>
              <w:pStyle w:val="NoSpacing"/>
              <w:spacing w:lineRule="auto" w:line="240" w:before="0" w:after="0"/>
              <w:rPr>
                <w:sz w:val="12"/>
                <w:szCs w:val="12"/>
              </w:rPr>
            </w:pPr>
            <w:r>
              <w:rPr>
                <w:sz w:val="12"/>
                <w:szCs w:val="12"/>
              </w:rPr>
              <w:t>- Nastavte kapacity čerpadla v souladu se změnou zatížení po určitou dobu;</w:t>
              <w:br/>
              <w:t>- V režimu AUTO je čerpadlo nastaveno na režim proporcionální regulace tlaku.</w:t>
            </w:r>
          </w:p>
        </w:tc>
      </w:tr>
      <w:tr>
        <w:trPr/>
        <w:tc>
          <w:tcPr>
            <w:tcW w:w="1874" w:type="dxa"/>
            <w:tcBorders/>
            <w:shd w:fill="auto" w:val="clear"/>
          </w:tcPr>
          <w:p>
            <w:pPr>
              <w:pStyle w:val="NoSpacing"/>
              <w:spacing w:lineRule="auto" w:line="240" w:before="0" w:after="0"/>
              <w:rPr>
                <w:sz w:val="12"/>
                <w:szCs w:val="12"/>
              </w:rPr>
            </w:pPr>
            <w:r>
              <w:rPr>
                <w:sz w:val="12"/>
                <w:szCs w:val="12"/>
              </w:rPr>
              <w:t>PP1 / PP2</w:t>
            </w:r>
          </w:p>
        </w:tc>
        <w:tc>
          <w:tcPr>
            <w:tcW w:w="2551" w:type="dxa"/>
            <w:tcBorders/>
            <w:shd w:fill="auto" w:val="clear"/>
          </w:tcPr>
          <w:p>
            <w:pPr>
              <w:pStyle w:val="NoSpacing"/>
              <w:spacing w:lineRule="auto" w:line="240" w:before="0" w:after="0"/>
              <w:rPr>
                <w:sz w:val="12"/>
                <w:szCs w:val="12"/>
              </w:rPr>
            </w:pPr>
            <w:r>
              <w:rPr>
                <w:sz w:val="12"/>
                <w:szCs w:val="12"/>
              </w:rPr>
              <w:t>Křivky přímo úměrná tlaku</w:t>
            </w:r>
          </w:p>
        </w:tc>
        <w:tc>
          <w:tcPr>
            <w:tcW w:w="4219" w:type="dxa"/>
            <w:tcBorders/>
            <w:shd w:fill="auto" w:val="clear"/>
          </w:tcPr>
          <w:p>
            <w:pPr>
              <w:pStyle w:val="NoSpacing"/>
              <w:spacing w:lineRule="auto" w:line="240" w:before="0" w:after="0"/>
              <w:rPr>
                <w:sz w:val="12"/>
                <w:szCs w:val="12"/>
              </w:rPr>
            </w:pPr>
            <w:r>
              <w:rPr>
                <w:sz w:val="12"/>
                <w:szCs w:val="12"/>
              </w:rPr>
              <w:t>Pracovní bod se bude pohybovat nahoru a dolů v proporcionálním tlakové křivky v závislosti na požadavcích na proudění v systému, kdy se sníží požadavky na průtok, pokles tlaku vodního čerpadla, když požadavek na energii stále roste, se zvýší.</w:t>
            </w:r>
          </w:p>
        </w:tc>
      </w:tr>
      <w:tr>
        <w:trPr/>
        <w:tc>
          <w:tcPr>
            <w:tcW w:w="1874" w:type="dxa"/>
            <w:tcBorders/>
            <w:shd w:fill="auto" w:val="clear"/>
          </w:tcPr>
          <w:p>
            <w:pPr>
              <w:pStyle w:val="NoSpacing"/>
              <w:spacing w:lineRule="auto" w:line="240" w:before="0" w:after="0"/>
              <w:rPr>
                <w:sz w:val="12"/>
                <w:szCs w:val="12"/>
              </w:rPr>
            </w:pPr>
            <w:r>
              <w:rPr>
                <w:sz w:val="12"/>
                <w:szCs w:val="12"/>
              </w:rPr>
              <w:t>CP1 / CP2</w:t>
            </w:r>
          </w:p>
        </w:tc>
        <w:tc>
          <w:tcPr>
            <w:tcW w:w="2551" w:type="dxa"/>
            <w:tcBorders/>
            <w:shd w:fill="auto" w:val="clear"/>
          </w:tcPr>
          <w:p>
            <w:pPr>
              <w:pStyle w:val="NoSpacing"/>
              <w:spacing w:lineRule="auto" w:line="240" w:before="0" w:after="0"/>
              <w:rPr>
                <w:sz w:val="12"/>
                <w:szCs w:val="12"/>
              </w:rPr>
            </w:pPr>
            <w:r>
              <w:rPr>
                <w:sz w:val="12"/>
                <w:szCs w:val="12"/>
              </w:rPr>
              <w:t>Křivky konstantního tlaku</w:t>
            </w:r>
          </w:p>
        </w:tc>
        <w:tc>
          <w:tcPr>
            <w:tcW w:w="4219" w:type="dxa"/>
            <w:tcBorders/>
            <w:shd w:fill="auto" w:val="clear"/>
          </w:tcPr>
          <w:p>
            <w:pPr>
              <w:pStyle w:val="NoSpacing"/>
              <w:spacing w:lineRule="auto" w:line="240" w:before="0" w:after="0"/>
              <w:rPr>
                <w:sz w:val="12"/>
                <w:szCs w:val="12"/>
              </w:rPr>
            </w:pPr>
            <w:r>
              <w:rPr>
                <w:sz w:val="12"/>
                <w:szCs w:val="12"/>
              </w:rPr>
              <w:t>provozní čerpadlo bod se pohybuje dopředu a dozadu při konstantní tlakové křivky v závislosti na potřebách systému. Tlak vodní čerpadlo zůstává konstantní, nemá nic společného s poptávkou po toku.</w:t>
            </w:r>
          </w:p>
        </w:tc>
      </w:tr>
      <w:tr>
        <w:trPr/>
        <w:tc>
          <w:tcPr>
            <w:tcW w:w="1874" w:type="dxa"/>
            <w:tcBorders/>
            <w:shd w:fill="auto" w:val="clear"/>
          </w:tcPr>
          <w:p>
            <w:pPr>
              <w:pStyle w:val="NoSpacing"/>
              <w:spacing w:lineRule="auto" w:line="240" w:before="0" w:after="0"/>
              <w:rPr>
                <w:sz w:val="12"/>
                <w:szCs w:val="12"/>
              </w:rPr>
            </w:pPr>
            <w:r>
              <w:rPr>
                <w:sz w:val="12"/>
                <w:szCs w:val="12"/>
              </w:rPr>
              <w:t>I / II / III</w:t>
            </w:r>
          </w:p>
        </w:tc>
        <w:tc>
          <w:tcPr>
            <w:tcW w:w="2551" w:type="dxa"/>
            <w:tcBorders/>
            <w:shd w:fill="auto" w:val="clear"/>
          </w:tcPr>
          <w:p>
            <w:pPr>
              <w:pStyle w:val="NoSpacing"/>
              <w:spacing w:lineRule="auto" w:line="240" w:before="0" w:after="0"/>
              <w:rPr>
                <w:sz w:val="12"/>
                <w:szCs w:val="12"/>
              </w:rPr>
            </w:pPr>
            <w:r>
              <w:rPr>
                <w:sz w:val="12"/>
                <w:szCs w:val="12"/>
              </w:rPr>
              <w:t>Křivky konstantní rychlosti</w:t>
            </w:r>
          </w:p>
        </w:tc>
        <w:tc>
          <w:tcPr>
            <w:tcW w:w="4219" w:type="dxa"/>
            <w:tcBorders/>
            <w:shd w:fill="auto" w:val="clear"/>
          </w:tcPr>
          <w:p>
            <w:pPr>
              <w:pStyle w:val="NoSpacing"/>
              <w:spacing w:lineRule="auto" w:line="240" w:before="0" w:after="0"/>
              <w:rPr>
                <w:sz w:val="12"/>
                <w:szCs w:val="12"/>
              </w:rPr>
            </w:pPr>
            <w:r>
              <w:rPr>
                <w:sz w:val="12"/>
                <w:szCs w:val="12"/>
              </w:rPr>
              <w:t>I, II, III, (1-3), čerpadlo se nastaven na maximum křivky za všech provozních podmínek. Když je čerpadlo instalováno ve třetím režimu, v krátkém čase, bude čerpadlo rychle odvětrán.</w:t>
            </w:r>
          </w:p>
        </w:tc>
      </w:tr>
    </w:tbl>
    <w:p>
      <w:pPr>
        <w:pStyle w:val="NoSpacing"/>
        <w:ind w:left="567" w:hanging="0"/>
        <w:rPr/>
      </w:pPr>
      <w:r>
        <w:rPr/>
      </w:r>
    </w:p>
    <w:p>
      <w:pPr>
        <w:pStyle w:val="NoSpacing"/>
        <w:numPr>
          <w:ilvl w:val="0"/>
          <w:numId w:val="5"/>
        </w:numPr>
        <w:rPr/>
      </w:pPr>
      <w:r>
        <w:rPr>
          <w:b/>
        </w:rPr>
        <w:t xml:space="preserve"> </w:t>
      </w:r>
      <w:r>
        <w:rPr>
          <w:b/>
        </w:rPr>
        <w:t>výnosová křivka</w:t>
      </w:r>
      <w:r>
        <w:rPr/>
        <w:br/>
        <w:t>10.1 vodicí křivka wydajnościKażde nastavení čerpadla bude mít odpovídající křivky výkonu (Q / h). AUTO / ECO-tuning pokrývá rozsah výkonu. Příkon křivka (křivka P1) patří ke každému Q / H pod křivkou představuje spotřebu energie (P1) čerpadla ve wattech daný Q / H.10.2 Podmínky pro získání krzywej</w:t>
      </w:r>
    </w:p>
    <w:p>
      <w:pPr>
        <w:pStyle w:val="NoSpacing"/>
        <w:numPr>
          <w:ilvl w:val="0"/>
          <w:numId w:val="5"/>
        </w:numPr>
        <w:rPr/>
      </w:pPr>
      <w:r>
        <w:rPr/>
        <w:t xml:space="preserve">Následující popis se vztahuje na výkonové křivky pro čerpadla řady BTEA 2: </w:t>
      </w:r>
    </w:p>
    <w:p>
      <w:pPr>
        <w:pStyle w:val="NoSpacing"/>
        <w:numPr>
          <w:ilvl w:val="0"/>
          <w:numId w:val="0"/>
        </w:numPr>
        <w:ind w:left="1211" w:hanging="0"/>
        <w:rPr/>
      </w:pPr>
      <w:r>
        <w:rPr/>
        <w:t xml:space="preserve">• </w:t>
      </w:r>
      <w:r>
        <w:rPr/>
        <w:t xml:space="preserve">Faktor nafukovací:. bezvodý plyn </w:t>
      </w:r>
    </w:p>
    <w:p>
      <w:pPr>
        <w:pStyle w:val="NoSpacing"/>
        <w:numPr>
          <w:ilvl w:val="0"/>
          <w:numId w:val="0"/>
        </w:numPr>
        <w:ind w:left="1211" w:hanging="0"/>
        <w:rPr/>
      </w:pPr>
      <w:r>
        <w:rPr/>
        <w:t xml:space="preserve">• </w:t>
      </w:r>
      <w:r>
        <w:rPr/>
        <w:t xml:space="preserve">hustota vody, ke které byla vytvořena křivky p = 983,2 kg / m3 a teplotě + 60 ° C </w:t>
      </w:r>
    </w:p>
    <w:p>
      <w:pPr>
        <w:pStyle w:val="NoSpacing"/>
        <w:numPr>
          <w:ilvl w:val="0"/>
          <w:numId w:val="0"/>
        </w:numPr>
        <w:ind w:left="1211" w:hanging="0"/>
        <w:rPr/>
      </w:pPr>
      <w:r>
        <w:rPr/>
        <w:t xml:space="preserve">• </w:t>
      </w:r>
      <w:r>
        <w:rPr/>
        <w:t xml:space="preserve">Všechny hodnoty jsou průměrné křivky nelze považovat za zaručenou křivky. Pokud požadované účinnosti, musí být měření provedeno samostatně pro každou kopii čerpadla. </w:t>
      </w:r>
    </w:p>
    <w:p>
      <w:pPr>
        <w:pStyle w:val="NoSpacing"/>
        <w:numPr>
          <w:ilvl w:val="0"/>
          <w:numId w:val="0"/>
        </w:numPr>
        <w:ind w:left="1211" w:hanging="0"/>
        <w:rPr/>
      </w:pPr>
      <w:r>
        <w:rPr/>
        <w:t xml:space="preserve">• </w:t>
      </w:r>
      <w:r>
        <w:rPr/>
        <w:t>křivky byly vytvořeny s kinematickou viskozitou vody čerpané υ = 0,474 mm2 / s (0,474CcST)</w:t>
      </w:r>
    </w:p>
    <w:p>
      <w:pPr>
        <w:pStyle w:val="NoSpacing"/>
        <w:ind w:left="567" w:hanging="0"/>
        <w:rPr/>
      </w:pPr>
      <w:r>
        <w:rPr/>
      </w:r>
    </w:p>
    <w:p>
      <w:pPr>
        <w:pStyle w:val="NoSpacing"/>
        <w:ind w:left="644" w:hanging="0"/>
        <w:rPr/>
      </w:pPr>
      <w:r>
        <w:rPr/>
        <w:drawing>
          <wp:anchor behindDoc="0" distT="0" distB="0" distL="133350" distR="114300" simplePos="0" locked="0" layoutInCell="1" allowOverlap="1" relativeHeight="15">
            <wp:simplePos x="0" y="0"/>
            <wp:positionH relativeFrom="column">
              <wp:posOffset>-127000</wp:posOffset>
            </wp:positionH>
            <wp:positionV relativeFrom="paragraph">
              <wp:posOffset>635</wp:posOffset>
            </wp:positionV>
            <wp:extent cx="5981700" cy="3397250"/>
            <wp:effectExtent l="0" t="0" r="0" b="0"/>
            <wp:wrapSquare wrapText="bothSides"/>
            <wp:docPr id="29" name="Obraz 289" descr="Bet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az 289" descr="Beta 2.jpg"/>
                    <pic:cNvPicPr>
                      <a:picLocks noChangeAspect="1" noChangeArrowheads="1"/>
                    </pic:cNvPicPr>
                  </pic:nvPicPr>
                  <pic:blipFill>
                    <a:blip r:embed="rId31"/>
                    <a:stretch>
                      <a:fillRect/>
                    </a:stretch>
                  </pic:blipFill>
                  <pic:spPr bwMode="auto">
                    <a:xfrm>
                      <a:off x="0" y="0"/>
                      <a:ext cx="5981700" cy="3397250"/>
                    </a:xfrm>
                    <a:prstGeom prst="rect">
                      <a:avLst/>
                    </a:prstGeom>
                  </pic:spPr>
                </pic:pic>
              </a:graphicData>
            </a:graphic>
          </wp:anchor>
        </w:drawing>
      </w:r>
    </w:p>
    <w:p>
      <w:pPr>
        <w:pStyle w:val="NoSpacing"/>
        <w:ind w:left="1134" w:hanging="0"/>
        <w:rPr/>
      </w:pPr>
      <w:r>
        <w:rPr/>
      </w:r>
    </w:p>
    <w:p>
      <w:pPr>
        <w:pStyle w:val="NoSpacing"/>
        <w:ind w:left="1134" w:hanging="0"/>
        <w:rPr/>
      </w:pPr>
      <w:r>
        <w:rPr/>
        <w:t xml:space="preserve">Benchmark pro nejúčinnějších oběhových čerpadel je </w:t>
      </w:r>
    </w:p>
    <w:p>
      <w:pPr>
        <w:pStyle w:val="NoSpacing"/>
        <w:ind w:left="1134" w:hanging="0"/>
        <w:rPr/>
      </w:pPr>
      <w:r>
        <w:rPr/>
        <w:t>EEI ≤ 0,23 pro čerpadla Beta 2 EEI≤ faktorem 0,23, to znamená, že čerpadlo Beta 2 je energeticky účinné čerpadlo.</w:t>
      </w:r>
    </w:p>
    <w:p>
      <w:pPr>
        <w:pStyle w:val="NoSpacing"/>
        <w:ind w:left="426" w:hanging="0"/>
        <w:rPr>
          <w:b/>
          <w:b/>
        </w:rPr>
      </w:pPr>
      <w:r>
        <w:rPr>
          <w:b/>
        </w:rPr>
      </w:r>
    </w:p>
    <w:p>
      <w:pPr>
        <w:pStyle w:val="NoSpacing"/>
        <w:numPr>
          <w:ilvl w:val="0"/>
          <w:numId w:val="5"/>
        </w:numPr>
        <w:rPr>
          <w:b/>
          <w:b/>
        </w:rPr>
      </w:pPr>
      <w:r>
        <w:rPr>
          <w:b/>
        </w:rPr>
        <w:t xml:space="preserve">ÚDAJE </w:t>
      </w:r>
    </w:p>
    <w:p>
      <w:pPr>
        <w:pStyle w:val="NoSpacing"/>
        <w:ind w:left="1000" w:hanging="0"/>
        <w:rPr/>
      </w:pPr>
      <w:r>
        <w:rPr/>
      </w:r>
    </w:p>
    <w:tbl>
      <w:tblPr>
        <w:tblStyle w:val="Tabela-Siatka"/>
        <w:tblW w:w="7655" w:type="dxa"/>
        <w:jc w:val="left"/>
        <w:tblInd w:w="817" w:type="dxa"/>
        <w:tblCellMar>
          <w:top w:w="0" w:type="dxa"/>
          <w:left w:w="108" w:type="dxa"/>
          <w:bottom w:w="0" w:type="dxa"/>
          <w:right w:w="108" w:type="dxa"/>
        </w:tblCellMar>
        <w:tblLook w:val="04a0"/>
      </w:tblPr>
      <w:tblGrid>
        <w:gridCol w:w="2409"/>
        <w:gridCol w:w="2694"/>
        <w:gridCol w:w="2552"/>
      </w:tblGrid>
      <w:tr>
        <w:trPr/>
        <w:tc>
          <w:tcPr>
            <w:tcW w:w="7655" w:type="dxa"/>
            <w:gridSpan w:val="3"/>
            <w:tcBorders/>
            <w:shd w:fill="auto" w:val="clear"/>
          </w:tcPr>
          <w:p>
            <w:pPr>
              <w:pStyle w:val="NoSpacing"/>
              <w:spacing w:lineRule="auto" w:line="240" w:before="0" w:after="0"/>
              <w:rPr>
                <w:sz w:val="16"/>
                <w:szCs w:val="16"/>
              </w:rPr>
            </w:pPr>
            <w:r>
              <w:rPr>
                <w:sz w:val="16"/>
                <w:szCs w:val="16"/>
              </w:rPr>
              <w:t>Za účelem ochrany ovládacího panelu a statorového pouzdra kondenzací vždy teploty ohřevu vyšší než okolní teplota.</w:t>
            </w:r>
          </w:p>
        </w:tc>
      </w:tr>
      <w:tr>
        <w:trPr/>
        <w:tc>
          <w:tcPr>
            <w:tcW w:w="2409" w:type="dxa"/>
            <w:vMerge w:val="restart"/>
            <w:tcBorders/>
            <w:shd w:fill="auto" w:val="clear"/>
            <w:vAlign w:val="center"/>
          </w:tcPr>
          <w:p>
            <w:pPr>
              <w:pStyle w:val="NoSpacing"/>
              <w:spacing w:lineRule="auto" w:line="240" w:before="0" w:after="0"/>
              <w:jc w:val="center"/>
              <w:rPr>
                <w:sz w:val="16"/>
                <w:szCs w:val="16"/>
              </w:rPr>
            </w:pPr>
            <w:r>
              <w:rPr>
                <w:sz w:val="16"/>
                <w:szCs w:val="16"/>
              </w:rPr>
              <w:t>Okolní teplota [° C]</w:t>
            </w:r>
          </w:p>
        </w:tc>
        <w:tc>
          <w:tcPr>
            <w:tcW w:w="5246" w:type="dxa"/>
            <w:gridSpan w:val="2"/>
            <w:tcBorders/>
            <w:shd w:fill="auto" w:val="clear"/>
            <w:vAlign w:val="center"/>
          </w:tcPr>
          <w:p>
            <w:pPr>
              <w:pStyle w:val="NoSpacing"/>
              <w:spacing w:lineRule="auto" w:line="240" w:before="0" w:after="0"/>
              <w:jc w:val="center"/>
              <w:rPr>
                <w:sz w:val="16"/>
                <w:szCs w:val="16"/>
              </w:rPr>
            </w:pPr>
            <w:r>
              <w:rPr>
                <w:sz w:val="16"/>
                <w:szCs w:val="16"/>
              </w:rPr>
              <w:t>Teplota topného média</w:t>
            </w:r>
          </w:p>
        </w:tc>
      </w:tr>
      <w:tr>
        <w:trPr/>
        <w:tc>
          <w:tcPr>
            <w:tcW w:w="2409" w:type="dxa"/>
            <w:vMerge w:val="continue"/>
            <w:tcBorders/>
            <w:shd w:fill="auto" w:val="clear"/>
            <w:vAlign w:val="center"/>
          </w:tcPr>
          <w:p>
            <w:pPr>
              <w:pStyle w:val="NoSpacing"/>
              <w:spacing w:lineRule="auto" w:line="240" w:before="0" w:after="0"/>
              <w:jc w:val="center"/>
              <w:rPr>
                <w:sz w:val="16"/>
                <w:szCs w:val="16"/>
              </w:rPr>
            </w:pPr>
            <w:r>
              <w:rPr>
                <w:sz w:val="16"/>
                <w:szCs w:val="16"/>
              </w:rPr>
            </w:r>
          </w:p>
        </w:tc>
        <w:tc>
          <w:tcPr>
            <w:tcW w:w="2694" w:type="dxa"/>
            <w:tcBorders/>
            <w:shd w:fill="auto" w:val="clear"/>
            <w:vAlign w:val="center"/>
          </w:tcPr>
          <w:p>
            <w:pPr>
              <w:pStyle w:val="NoSpacing"/>
              <w:spacing w:lineRule="auto" w:line="240" w:before="0" w:after="0"/>
              <w:jc w:val="center"/>
              <w:rPr>
                <w:sz w:val="16"/>
                <w:szCs w:val="16"/>
              </w:rPr>
            </w:pPr>
            <w:r>
              <w:rPr>
                <w:sz w:val="16"/>
                <w:szCs w:val="16"/>
              </w:rPr>
              <w:t>Min [° C]</w:t>
            </w:r>
          </w:p>
        </w:tc>
        <w:tc>
          <w:tcPr>
            <w:tcW w:w="2552" w:type="dxa"/>
            <w:tcBorders/>
            <w:shd w:fill="auto" w:val="clear"/>
            <w:vAlign w:val="center"/>
          </w:tcPr>
          <w:p>
            <w:pPr>
              <w:pStyle w:val="NoSpacing"/>
              <w:spacing w:lineRule="auto" w:line="240" w:before="0" w:after="0"/>
              <w:jc w:val="center"/>
              <w:rPr>
                <w:sz w:val="16"/>
                <w:szCs w:val="16"/>
              </w:rPr>
            </w:pPr>
            <w:r>
              <w:rPr>
                <w:sz w:val="16"/>
                <w:szCs w:val="16"/>
              </w:rPr>
              <w:t>Peak [° C]</w:t>
            </w:r>
          </w:p>
        </w:tc>
      </w:tr>
      <w:tr>
        <w:trPr/>
        <w:tc>
          <w:tcPr>
            <w:tcW w:w="2409" w:type="dxa"/>
            <w:tcBorders/>
            <w:shd w:fill="auto" w:val="clear"/>
            <w:vAlign w:val="center"/>
          </w:tcPr>
          <w:p>
            <w:pPr>
              <w:pStyle w:val="Normal"/>
              <w:spacing w:lineRule="auto" w:line="240" w:before="0" w:after="0"/>
              <w:jc w:val="center"/>
              <w:rPr>
                <w:sz w:val="16"/>
                <w:szCs w:val="16"/>
              </w:rPr>
            </w:pPr>
            <w:r>
              <w:rPr>
                <w:sz w:val="16"/>
                <w:szCs w:val="16"/>
              </w:rPr>
              <w:t>0</w:t>
            </w:r>
          </w:p>
        </w:tc>
        <w:tc>
          <w:tcPr>
            <w:tcW w:w="2694" w:type="dxa"/>
            <w:tcBorders/>
            <w:shd w:fill="auto" w:val="clear"/>
            <w:vAlign w:val="center"/>
          </w:tcPr>
          <w:p>
            <w:pPr>
              <w:pStyle w:val="Normal"/>
              <w:spacing w:lineRule="auto" w:line="240" w:before="0" w:after="0"/>
              <w:jc w:val="center"/>
              <w:rPr>
                <w:sz w:val="16"/>
                <w:szCs w:val="16"/>
              </w:rPr>
            </w:pPr>
            <w:r>
              <w:rPr>
                <w:sz w:val="16"/>
                <w:szCs w:val="16"/>
              </w:rPr>
              <w:t>2</w:t>
            </w:r>
          </w:p>
        </w:tc>
        <w:tc>
          <w:tcPr>
            <w:tcW w:w="2552" w:type="dxa"/>
            <w:tcBorders/>
            <w:shd w:fill="auto" w:val="clear"/>
            <w:vAlign w:val="center"/>
          </w:tcPr>
          <w:p>
            <w:pPr>
              <w:pStyle w:val="Normal"/>
              <w:spacing w:lineRule="auto" w:line="240" w:before="0" w:after="0"/>
              <w:jc w:val="center"/>
              <w:rPr>
                <w:sz w:val="16"/>
                <w:szCs w:val="16"/>
              </w:rPr>
            </w:pPr>
            <w:r>
              <w:rPr>
                <w:sz w:val="16"/>
                <w:szCs w:val="16"/>
              </w:rPr>
              <w:t>95</w:t>
            </w:r>
          </w:p>
        </w:tc>
      </w:tr>
      <w:tr>
        <w:trPr/>
        <w:tc>
          <w:tcPr>
            <w:tcW w:w="2409" w:type="dxa"/>
            <w:tcBorders/>
            <w:shd w:fill="auto" w:val="clear"/>
            <w:vAlign w:val="center"/>
          </w:tcPr>
          <w:p>
            <w:pPr>
              <w:pStyle w:val="Normal"/>
              <w:spacing w:lineRule="auto" w:line="240" w:before="0" w:after="0"/>
              <w:jc w:val="center"/>
              <w:rPr>
                <w:sz w:val="16"/>
                <w:szCs w:val="16"/>
              </w:rPr>
            </w:pPr>
            <w:r>
              <w:rPr>
                <w:sz w:val="16"/>
                <w:szCs w:val="16"/>
              </w:rPr>
              <w:t>10</w:t>
            </w:r>
          </w:p>
        </w:tc>
        <w:tc>
          <w:tcPr>
            <w:tcW w:w="2694" w:type="dxa"/>
            <w:tcBorders/>
            <w:shd w:fill="auto" w:val="clear"/>
            <w:vAlign w:val="center"/>
          </w:tcPr>
          <w:p>
            <w:pPr>
              <w:pStyle w:val="Normal"/>
              <w:spacing w:lineRule="auto" w:line="240" w:before="0" w:after="0"/>
              <w:jc w:val="center"/>
              <w:rPr>
                <w:sz w:val="16"/>
                <w:szCs w:val="16"/>
              </w:rPr>
            </w:pPr>
            <w:r>
              <w:rPr>
                <w:sz w:val="16"/>
                <w:szCs w:val="16"/>
              </w:rPr>
              <w:t>10</w:t>
            </w:r>
          </w:p>
        </w:tc>
        <w:tc>
          <w:tcPr>
            <w:tcW w:w="2552" w:type="dxa"/>
            <w:tcBorders/>
            <w:shd w:fill="auto" w:val="clear"/>
            <w:vAlign w:val="center"/>
          </w:tcPr>
          <w:p>
            <w:pPr>
              <w:pStyle w:val="Normal"/>
              <w:spacing w:lineRule="auto" w:line="240" w:before="0" w:after="0"/>
              <w:jc w:val="center"/>
              <w:rPr>
                <w:sz w:val="16"/>
                <w:szCs w:val="16"/>
              </w:rPr>
            </w:pPr>
            <w:r>
              <w:rPr>
                <w:sz w:val="16"/>
                <w:szCs w:val="16"/>
              </w:rPr>
              <w:t>95</w:t>
            </w:r>
          </w:p>
        </w:tc>
      </w:tr>
      <w:tr>
        <w:trPr/>
        <w:tc>
          <w:tcPr>
            <w:tcW w:w="2409" w:type="dxa"/>
            <w:tcBorders/>
            <w:shd w:fill="auto" w:val="clear"/>
            <w:vAlign w:val="center"/>
          </w:tcPr>
          <w:p>
            <w:pPr>
              <w:pStyle w:val="Normal"/>
              <w:spacing w:lineRule="auto" w:line="240" w:before="0" w:after="0"/>
              <w:jc w:val="center"/>
              <w:rPr>
                <w:sz w:val="16"/>
                <w:szCs w:val="16"/>
              </w:rPr>
            </w:pPr>
            <w:r>
              <w:rPr>
                <w:sz w:val="16"/>
                <w:szCs w:val="16"/>
              </w:rPr>
              <w:t>20</w:t>
            </w:r>
          </w:p>
        </w:tc>
        <w:tc>
          <w:tcPr>
            <w:tcW w:w="2694" w:type="dxa"/>
            <w:tcBorders/>
            <w:shd w:fill="auto" w:val="clear"/>
            <w:vAlign w:val="center"/>
          </w:tcPr>
          <w:p>
            <w:pPr>
              <w:pStyle w:val="Normal"/>
              <w:spacing w:lineRule="auto" w:line="240" w:before="0" w:after="0"/>
              <w:jc w:val="center"/>
              <w:rPr>
                <w:sz w:val="16"/>
                <w:szCs w:val="16"/>
              </w:rPr>
            </w:pPr>
            <w:r>
              <w:rPr>
                <w:sz w:val="16"/>
                <w:szCs w:val="16"/>
              </w:rPr>
              <w:t>20</w:t>
            </w:r>
          </w:p>
        </w:tc>
        <w:tc>
          <w:tcPr>
            <w:tcW w:w="2552" w:type="dxa"/>
            <w:tcBorders/>
            <w:shd w:fill="auto" w:val="clear"/>
            <w:vAlign w:val="center"/>
          </w:tcPr>
          <w:p>
            <w:pPr>
              <w:pStyle w:val="Normal"/>
              <w:spacing w:lineRule="auto" w:line="240" w:before="0" w:after="0"/>
              <w:jc w:val="center"/>
              <w:rPr>
                <w:sz w:val="16"/>
                <w:szCs w:val="16"/>
              </w:rPr>
            </w:pPr>
            <w:r>
              <w:rPr>
                <w:sz w:val="16"/>
                <w:szCs w:val="16"/>
              </w:rPr>
              <w:t>95</w:t>
            </w:r>
          </w:p>
        </w:tc>
      </w:tr>
      <w:tr>
        <w:trPr/>
        <w:tc>
          <w:tcPr>
            <w:tcW w:w="2409" w:type="dxa"/>
            <w:tcBorders/>
            <w:shd w:fill="auto" w:val="clear"/>
            <w:vAlign w:val="center"/>
          </w:tcPr>
          <w:p>
            <w:pPr>
              <w:pStyle w:val="Normal"/>
              <w:spacing w:lineRule="auto" w:line="240" w:before="0" w:after="0"/>
              <w:jc w:val="center"/>
              <w:rPr>
                <w:sz w:val="16"/>
                <w:szCs w:val="16"/>
              </w:rPr>
            </w:pPr>
            <w:r>
              <w:rPr>
                <w:sz w:val="16"/>
                <w:szCs w:val="16"/>
              </w:rPr>
              <w:t>30</w:t>
            </w:r>
          </w:p>
        </w:tc>
        <w:tc>
          <w:tcPr>
            <w:tcW w:w="2694" w:type="dxa"/>
            <w:tcBorders/>
            <w:shd w:fill="auto" w:val="clear"/>
            <w:vAlign w:val="center"/>
          </w:tcPr>
          <w:p>
            <w:pPr>
              <w:pStyle w:val="Normal"/>
              <w:spacing w:lineRule="auto" w:line="240" w:before="0" w:after="0"/>
              <w:jc w:val="center"/>
              <w:rPr>
                <w:sz w:val="16"/>
                <w:szCs w:val="16"/>
              </w:rPr>
            </w:pPr>
            <w:r>
              <w:rPr>
                <w:sz w:val="16"/>
                <w:szCs w:val="16"/>
              </w:rPr>
              <w:t>30</w:t>
            </w:r>
          </w:p>
        </w:tc>
        <w:tc>
          <w:tcPr>
            <w:tcW w:w="2552" w:type="dxa"/>
            <w:tcBorders/>
            <w:shd w:fill="auto" w:val="clear"/>
            <w:vAlign w:val="center"/>
          </w:tcPr>
          <w:p>
            <w:pPr>
              <w:pStyle w:val="Normal"/>
              <w:spacing w:lineRule="auto" w:line="240" w:before="0" w:after="0"/>
              <w:jc w:val="center"/>
              <w:rPr>
                <w:sz w:val="16"/>
                <w:szCs w:val="16"/>
              </w:rPr>
            </w:pPr>
            <w:r>
              <w:rPr>
                <w:sz w:val="16"/>
                <w:szCs w:val="16"/>
              </w:rPr>
              <w:t>95</w:t>
            </w:r>
          </w:p>
        </w:tc>
      </w:tr>
      <w:tr>
        <w:trPr/>
        <w:tc>
          <w:tcPr>
            <w:tcW w:w="2409" w:type="dxa"/>
            <w:tcBorders/>
            <w:shd w:fill="auto" w:val="clear"/>
            <w:vAlign w:val="center"/>
          </w:tcPr>
          <w:p>
            <w:pPr>
              <w:pStyle w:val="Normal"/>
              <w:spacing w:lineRule="auto" w:line="240" w:before="0" w:after="0"/>
              <w:jc w:val="center"/>
              <w:rPr>
                <w:sz w:val="16"/>
                <w:szCs w:val="16"/>
              </w:rPr>
            </w:pPr>
            <w:r>
              <w:rPr>
                <w:sz w:val="16"/>
                <w:szCs w:val="16"/>
              </w:rPr>
              <w:t>35</w:t>
            </w:r>
          </w:p>
        </w:tc>
        <w:tc>
          <w:tcPr>
            <w:tcW w:w="2694" w:type="dxa"/>
            <w:tcBorders/>
            <w:shd w:fill="auto" w:val="clear"/>
            <w:vAlign w:val="center"/>
          </w:tcPr>
          <w:p>
            <w:pPr>
              <w:pStyle w:val="Normal"/>
              <w:spacing w:lineRule="auto" w:line="240" w:before="0" w:after="0"/>
              <w:jc w:val="center"/>
              <w:rPr>
                <w:sz w:val="16"/>
                <w:szCs w:val="16"/>
              </w:rPr>
            </w:pPr>
            <w:r>
              <w:rPr>
                <w:sz w:val="16"/>
                <w:szCs w:val="16"/>
              </w:rPr>
              <w:t>35</w:t>
            </w:r>
          </w:p>
        </w:tc>
        <w:tc>
          <w:tcPr>
            <w:tcW w:w="2552" w:type="dxa"/>
            <w:tcBorders/>
            <w:shd w:fill="auto" w:val="clear"/>
            <w:vAlign w:val="center"/>
          </w:tcPr>
          <w:p>
            <w:pPr>
              <w:pStyle w:val="Normal"/>
              <w:spacing w:lineRule="auto" w:line="240" w:before="0" w:after="0"/>
              <w:jc w:val="center"/>
              <w:rPr>
                <w:sz w:val="16"/>
                <w:szCs w:val="16"/>
              </w:rPr>
            </w:pPr>
            <w:r>
              <w:rPr>
                <w:sz w:val="16"/>
                <w:szCs w:val="16"/>
              </w:rPr>
              <w:t>90</w:t>
            </w:r>
          </w:p>
        </w:tc>
      </w:tr>
      <w:tr>
        <w:trPr/>
        <w:tc>
          <w:tcPr>
            <w:tcW w:w="2409" w:type="dxa"/>
            <w:tcBorders/>
            <w:shd w:fill="auto" w:val="clear"/>
            <w:vAlign w:val="center"/>
          </w:tcPr>
          <w:p>
            <w:pPr>
              <w:pStyle w:val="Normal"/>
              <w:spacing w:lineRule="auto" w:line="240" w:before="0" w:after="0"/>
              <w:jc w:val="center"/>
              <w:rPr>
                <w:sz w:val="16"/>
                <w:szCs w:val="16"/>
              </w:rPr>
            </w:pPr>
            <w:r>
              <w:rPr>
                <w:sz w:val="16"/>
                <w:szCs w:val="16"/>
              </w:rPr>
              <w:t>40</w:t>
            </w:r>
          </w:p>
        </w:tc>
        <w:tc>
          <w:tcPr>
            <w:tcW w:w="2694" w:type="dxa"/>
            <w:tcBorders/>
            <w:shd w:fill="auto" w:val="clear"/>
            <w:vAlign w:val="center"/>
          </w:tcPr>
          <w:p>
            <w:pPr>
              <w:pStyle w:val="Normal"/>
              <w:spacing w:lineRule="auto" w:line="240" w:before="0" w:after="0"/>
              <w:jc w:val="center"/>
              <w:rPr>
                <w:sz w:val="16"/>
                <w:szCs w:val="16"/>
              </w:rPr>
            </w:pPr>
            <w:r>
              <w:rPr>
                <w:sz w:val="16"/>
                <w:szCs w:val="16"/>
              </w:rPr>
              <w:t>40</w:t>
            </w:r>
          </w:p>
        </w:tc>
        <w:tc>
          <w:tcPr>
            <w:tcW w:w="2552" w:type="dxa"/>
            <w:tcBorders/>
            <w:shd w:fill="auto" w:val="clear"/>
            <w:vAlign w:val="center"/>
          </w:tcPr>
          <w:p>
            <w:pPr>
              <w:pStyle w:val="Normal"/>
              <w:spacing w:lineRule="auto" w:line="240" w:before="0" w:after="0"/>
              <w:jc w:val="center"/>
              <w:rPr>
                <w:sz w:val="16"/>
                <w:szCs w:val="16"/>
              </w:rPr>
            </w:pPr>
            <w:r>
              <w:rPr>
                <w:sz w:val="16"/>
                <w:szCs w:val="16"/>
              </w:rPr>
              <w:t>70</w:t>
            </w:r>
          </w:p>
        </w:tc>
      </w:tr>
      <w:tr>
        <w:trPr/>
        <w:tc>
          <w:tcPr>
            <w:tcW w:w="7655" w:type="dxa"/>
            <w:gridSpan w:val="3"/>
            <w:tcBorders/>
            <w:shd w:fill="auto" w:val="clear"/>
          </w:tcPr>
          <w:p>
            <w:pPr>
              <w:pStyle w:val="NoSpacing"/>
              <w:spacing w:lineRule="auto" w:line="240" w:before="0" w:after="0"/>
              <w:rPr>
                <w:sz w:val="16"/>
                <w:szCs w:val="16"/>
              </w:rPr>
            </w:pPr>
            <w:r>
              <w:rPr>
                <w:sz w:val="16"/>
                <w:szCs w:val="16"/>
              </w:rPr>
              <w:t>V případě použití čerpadla v okruhu teplé vody se doporučuje omezit teplotu pod 65 ° C,</w:t>
            </w:r>
          </w:p>
        </w:tc>
      </w:tr>
    </w:tbl>
    <w:p>
      <w:pPr>
        <w:pStyle w:val="Normal"/>
        <w:rPr/>
      </w:pPr>
      <w:r>
        <w:rPr/>
      </w:r>
    </w:p>
    <w:tbl>
      <w:tblPr>
        <w:tblStyle w:val="Tabela-Siatka"/>
        <w:tblW w:w="8471" w:type="dxa"/>
        <w:jc w:val="left"/>
        <w:tblInd w:w="817" w:type="dxa"/>
        <w:tblCellMar>
          <w:top w:w="0" w:type="dxa"/>
          <w:left w:w="108" w:type="dxa"/>
          <w:bottom w:w="0" w:type="dxa"/>
          <w:right w:w="108" w:type="dxa"/>
        </w:tblCellMar>
        <w:tblLook w:val="04a0"/>
      </w:tblPr>
      <w:tblGrid>
        <w:gridCol w:w="3847"/>
        <w:gridCol w:w="2109"/>
        <w:gridCol w:w="2515"/>
      </w:tblGrid>
      <w:tr>
        <w:trPr/>
        <w:tc>
          <w:tcPr>
            <w:tcW w:w="3847" w:type="dxa"/>
            <w:tcBorders/>
            <w:shd w:fill="auto" w:val="clear"/>
          </w:tcPr>
          <w:p>
            <w:pPr>
              <w:pStyle w:val="NoSpacing"/>
              <w:spacing w:lineRule="auto" w:line="240" w:before="0" w:after="0"/>
              <w:rPr>
                <w:sz w:val="16"/>
                <w:szCs w:val="16"/>
              </w:rPr>
            </w:pPr>
            <w:r>
              <w:rPr>
                <w:sz w:val="16"/>
                <w:szCs w:val="16"/>
              </w:rPr>
              <w:t>napájení</w:t>
            </w:r>
          </w:p>
        </w:tc>
        <w:tc>
          <w:tcPr>
            <w:tcW w:w="4624" w:type="dxa"/>
            <w:gridSpan w:val="2"/>
            <w:tcBorders/>
            <w:shd w:fill="auto" w:val="clear"/>
          </w:tcPr>
          <w:p>
            <w:pPr>
              <w:pStyle w:val="NoSpacing"/>
              <w:spacing w:lineRule="auto" w:line="240" w:before="0" w:after="0"/>
              <w:jc w:val="center"/>
              <w:rPr>
                <w:sz w:val="16"/>
                <w:szCs w:val="16"/>
              </w:rPr>
            </w:pPr>
            <w:r>
              <w:rPr>
                <w:sz w:val="16"/>
                <w:szCs w:val="16"/>
              </w:rPr>
              <w:t>1 x 230 + 6% / - 10%, 50 Hz, PE</w:t>
            </w:r>
          </w:p>
        </w:tc>
      </w:tr>
      <w:tr>
        <w:trPr/>
        <w:tc>
          <w:tcPr>
            <w:tcW w:w="3847" w:type="dxa"/>
            <w:tcBorders/>
            <w:shd w:fill="auto" w:val="clear"/>
          </w:tcPr>
          <w:p>
            <w:pPr>
              <w:pStyle w:val="NoSpacing"/>
              <w:spacing w:lineRule="auto" w:line="240" w:before="0" w:after="0"/>
              <w:rPr>
                <w:sz w:val="16"/>
                <w:szCs w:val="16"/>
              </w:rPr>
            </w:pPr>
            <w:r>
              <w:rPr>
                <w:sz w:val="16"/>
                <w:szCs w:val="16"/>
              </w:rPr>
              <w:t>ochrana motoru</w:t>
            </w:r>
          </w:p>
        </w:tc>
        <w:tc>
          <w:tcPr>
            <w:tcW w:w="4624" w:type="dxa"/>
            <w:gridSpan w:val="2"/>
            <w:tcBorders/>
            <w:shd w:fill="auto" w:val="clear"/>
          </w:tcPr>
          <w:p>
            <w:pPr>
              <w:pStyle w:val="NoSpacing"/>
              <w:spacing w:lineRule="auto" w:line="240" w:before="0" w:after="0"/>
              <w:jc w:val="center"/>
              <w:rPr>
                <w:sz w:val="16"/>
                <w:szCs w:val="16"/>
              </w:rPr>
            </w:pPr>
            <w:r>
              <w:rPr>
                <w:sz w:val="16"/>
                <w:szCs w:val="16"/>
              </w:rPr>
              <w:t>Není potřeba pro další ochranu motoru</w:t>
            </w:r>
          </w:p>
        </w:tc>
      </w:tr>
      <w:tr>
        <w:trPr/>
        <w:tc>
          <w:tcPr>
            <w:tcW w:w="3847" w:type="dxa"/>
            <w:tcBorders/>
            <w:shd w:fill="auto" w:val="clear"/>
          </w:tcPr>
          <w:p>
            <w:pPr>
              <w:pStyle w:val="NoSpacing"/>
              <w:spacing w:lineRule="auto" w:line="240" w:before="0" w:after="0"/>
              <w:rPr>
                <w:sz w:val="16"/>
                <w:szCs w:val="16"/>
              </w:rPr>
            </w:pPr>
            <w:r>
              <w:rPr>
                <w:sz w:val="16"/>
                <w:szCs w:val="16"/>
              </w:rPr>
              <w:t>Krytí</w:t>
            </w:r>
          </w:p>
        </w:tc>
        <w:tc>
          <w:tcPr>
            <w:tcW w:w="4624" w:type="dxa"/>
            <w:gridSpan w:val="2"/>
            <w:tcBorders/>
            <w:shd w:fill="auto" w:val="clear"/>
          </w:tcPr>
          <w:p>
            <w:pPr>
              <w:pStyle w:val="NoSpacing"/>
              <w:spacing w:lineRule="auto" w:line="240" w:before="0" w:after="0"/>
              <w:jc w:val="center"/>
              <w:rPr>
                <w:sz w:val="16"/>
                <w:szCs w:val="16"/>
              </w:rPr>
            </w:pPr>
            <w:r>
              <w:rPr>
                <w:sz w:val="16"/>
                <w:szCs w:val="16"/>
              </w:rPr>
              <w:t>IP 44</w:t>
            </w:r>
          </w:p>
        </w:tc>
      </w:tr>
      <w:tr>
        <w:trPr/>
        <w:tc>
          <w:tcPr>
            <w:tcW w:w="3847" w:type="dxa"/>
            <w:tcBorders/>
            <w:shd w:fill="auto" w:val="clear"/>
          </w:tcPr>
          <w:p>
            <w:pPr>
              <w:pStyle w:val="NoSpacing"/>
              <w:spacing w:lineRule="auto" w:line="240" w:before="0" w:after="0"/>
              <w:rPr>
                <w:sz w:val="16"/>
                <w:szCs w:val="16"/>
              </w:rPr>
            </w:pPr>
            <w:r>
              <w:rPr>
                <w:sz w:val="16"/>
                <w:szCs w:val="16"/>
              </w:rPr>
              <w:t>izolační třída</w:t>
            </w:r>
          </w:p>
        </w:tc>
        <w:tc>
          <w:tcPr>
            <w:tcW w:w="4624" w:type="dxa"/>
            <w:gridSpan w:val="2"/>
            <w:tcBorders/>
            <w:shd w:fill="auto" w:val="clear"/>
          </w:tcPr>
          <w:p>
            <w:pPr>
              <w:pStyle w:val="NoSpacing"/>
              <w:spacing w:lineRule="auto" w:line="240" w:before="0" w:after="0"/>
              <w:jc w:val="center"/>
              <w:rPr>
                <w:sz w:val="16"/>
                <w:szCs w:val="16"/>
              </w:rPr>
            </w:pPr>
            <w:r>
              <w:rPr>
                <w:sz w:val="16"/>
                <w:szCs w:val="16"/>
              </w:rPr>
              <w:t>F</w:t>
            </w:r>
          </w:p>
        </w:tc>
      </w:tr>
      <w:tr>
        <w:trPr/>
        <w:tc>
          <w:tcPr>
            <w:tcW w:w="3847" w:type="dxa"/>
            <w:tcBorders/>
            <w:shd w:fill="auto" w:val="clear"/>
          </w:tcPr>
          <w:p>
            <w:pPr>
              <w:pStyle w:val="NoSpacing"/>
              <w:spacing w:lineRule="auto" w:line="240" w:before="0" w:after="0"/>
              <w:rPr>
                <w:sz w:val="16"/>
                <w:szCs w:val="16"/>
              </w:rPr>
            </w:pPr>
            <w:r>
              <w:rPr>
                <w:sz w:val="16"/>
                <w:szCs w:val="16"/>
              </w:rPr>
              <w:t>Maximální relativní vlhkost okolního</w:t>
            </w:r>
          </w:p>
        </w:tc>
        <w:tc>
          <w:tcPr>
            <w:tcW w:w="4624" w:type="dxa"/>
            <w:gridSpan w:val="2"/>
            <w:tcBorders/>
            <w:shd w:fill="auto" w:val="clear"/>
          </w:tcPr>
          <w:p>
            <w:pPr>
              <w:pStyle w:val="NoSpacing"/>
              <w:spacing w:lineRule="auto" w:line="240" w:before="0" w:after="0"/>
              <w:jc w:val="center"/>
              <w:rPr>
                <w:sz w:val="16"/>
                <w:szCs w:val="16"/>
              </w:rPr>
            </w:pPr>
            <w:r>
              <w:rPr>
                <w:sz w:val="16"/>
                <w:szCs w:val="16"/>
              </w:rPr>
              <w:t xml:space="preserve">≤ </w:t>
            </w:r>
            <w:r>
              <w:rPr>
                <w:sz w:val="16"/>
                <w:szCs w:val="16"/>
              </w:rPr>
              <w:t>95%</w:t>
            </w:r>
          </w:p>
        </w:tc>
      </w:tr>
      <w:tr>
        <w:trPr/>
        <w:tc>
          <w:tcPr>
            <w:tcW w:w="3847" w:type="dxa"/>
            <w:tcBorders/>
            <w:shd w:fill="auto" w:val="clear"/>
          </w:tcPr>
          <w:p>
            <w:pPr>
              <w:pStyle w:val="NoSpacing"/>
              <w:spacing w:lineRule="auto" w:line="240" w:before="0" w:after="0"/>
              <w:rPr>
                <w:sz w:val="16"/>
                <w:szCs w:val="16"/>
              </w:rPr>
            </w:pPr>
            <w:r>
              <w:rPr>
                <w:sz w:val="16"/>
                <w:szCs w:val="16"/>
              </w:rPr>
              <w:t>Maximální tlak v CO</w:t>
            </w:r>
          </w:p>
        </w:tc>
        <w:tc>
          <w:tcPr>
            <w:tcW w:w="4624" w:type="dxa"/>
            <w:gridSpan w:val="2"/>
            <w:tcBorders/>
            <w:shd w:fill="auto" w:val="clear"/>
          </w:tcPr>
          <w:p>
            <w:pPr>
              <w:pStyle w:val="NoSpacing"/>
              <w:spacing w:lineRule="auto" w:line="240" w:before="0" w:after="0"/>
              <w:jc w:val="center"/>
              <w:rPr>
                <w:sz w:val="16"/>
                <w:szCs w:val="16"/>
              </w:rPr>
            </w:pPr>
            <w:r>
              <w:rPr>
                <w:sz w:val="16"/>
                <w:szCs w:val="16"/>
              </w:rPr>
              <w:t>1 MPa</w:t>
            </w:r>
          </w:p>
        </w:tc>
      </w:tr>
      <w:tr>
        <w:trPr/>
        <w:tc>
          <w:tcPr>
            <w:tcW w:w="3847" w:type="dxa"/>
            <w:vMerge w:val="restart"/>
            <w:tcBorders/>
            <w:shd w:fill="auto" w:val="clear"/>
            <w:vAlign w:val="center"/>
          </w:tcPr>
          <w:p>
            <w:pPr>
              <w:pStyle w:val="NoSpacing"/>
              <w:spacing w:lineRule="auto" w:line="240" w:before="0" w:after="0"/>
              <w:rPr>
                <w:sz w:val="16"/>
                <w:szCs w:val="16"/>
              </w:rPr>
            </w:pPr>
            <w:r>
              <w:rPr>
                <w:sz w:val="16"/>
                <w:szCs w:val="16"/>
              </w:rPr>
              <w:t>Minimální vstupní tlak sání v závislosti na teplotě topného média</w:t>
            </w:r>
          </w:p>
        </w:tc>
        <w:tc>
          <w:tcPr>
            <w:tcW w:w="2109" w:type="dxa"/>
            <w:tcBorders/>
            <w:shd w:fill="auto" w:val="clear"/>
            <w:vAlign w:val="center"/>
          </w:tcPr>
          <w:p>
            <w:pPr>
              <w:pStyle w:val="NoSpacing"/>
              <w:spacing w:lineRule="auto" w:line="240" w:before="0" w:after="0"/>
              <w:jc w:val="center"/>
              <w:rPr>
                <w:sz w:val="16"/>
                <w:szCs w:val="16"/>
              </w:rPr>
            </w:pPr>
            <w:r>
              <w:rPr>
                <w:sz w:val="16"/>
                <w:szCs w:val="16"/>
              </w:rPr>
              <w:t>Teplota z</w:t>
            </w:r>
          </w:p>
        </w:tc>
        <w:tc>
          <w:tcPr>
            <w:tcW w:w="2515" w:type="dxa"/>
            <w:tcBorders/>
            <w:shd w:fill="auto" w:val="clear"/>
            <w:vAlign w:val="center"/>
          </w:tcPr>
          <w:p>
            <w:pPr>
              <w:pStyle w:val="NoSpacing"/>
              <w:spacing w:lineRule="auto" w:line="240" w:before="0" w:after="0"/>
              <w:jc w:val="center"/>
              <w:rPr>
                <w:sz w:val="16"/>
                <w:szCs w:val="16"/>
              </w:rPr>
            </w:pPr>
            <w:r>
              <w:rPr>
                <w:sz w:val="16"/>
                <w:szCs w:val="16"/>
              </w:rPr>
              <w:t>Min.ciśnienie NAPL.</w:t>
            </w:r>
          </w:p>
        </w:tc>
      </w:tr>
      <w:tr>
        <w:trPr/>
        <w:tc>
          <w:tcPr>
            <w:tcW w:w="3847" w:type="dxa"/>
            <w:vMerge w:val="continue"/>
            <w:tcBorders/>
            <w:shd w:fill="auto" w:val="clear"/>
            <w:vAlign w:val="center"/>
          </w:tcPr>
          <w:p>
            <w:pPr>
              <w:pStyle w:val="NoSpacing"/>
              <w:spacing w:lineRule="auto" w:line="240" w:before="0" w:after="0"/>
              <w:rPr>
                <w:sz w:val="16"/>
                <w:szCs w:val="16"/>
              </w:rPr>
            </w:pPr>
            <w:r>
              <w:rPr>
                <w:sz w:val="16"/>
                <w:szCs w:val="16"/>
              </w:rPr>
            </w:r>
          </w:p>
        </w:tc>
        <w:tc>
          <w:tcPr>
            <w:tcW w:w="2109" w:type="dxa"/>
            <w:tcBorders/>
            <w:shd w:fill="auto" w:val="clear"/>
            <w:vAlign w:val="center"/>
          </w:tcPr>
          <w:p>
            <w:pPr>
              <w:pStyle w:val="NoSpacing"/>
              <w:spacing w:lineRule="auto" w:line="240" w:before="0" w:after="0"/>
              <w:jc w:val="center"/>
              <w:rPr>
                <w:sz w:val="16"/>
                <w:szCs w:val="16"/>
              </w:rPr>
            </w:pPr>
            <w:r>
              <w:rPr>
                <w:sz w:val="16"/>
                <w:szCs w:val="16"/>
              </w:rPr>
              <w:t xml:space="preserve">≤ </w:t>
            </w:r>
            <w:r>
              <w:rPr>
                <w:sz w:val="16"/>
                <w:szCs w:val="16"/>
              </w:rPr>
              <w:t>85 ° C</w:t>
            </w:r>
          </w:p>
        </w:tc>
        <w:tc>
          <w:tcPr>
            <w:tcW w:w="2515" w:type="dxa"/>
            <w:tcBorders/>
            <w:shd w:fill="auto" w:val="clear"/>
            <w:vAlign w:val="center"/>
          </w:tcPr>
          <w:p>
            <w:pPr>
              <w:pStyle w:val="Normal"/>
              <w:spacing w:lineRule="auto" w:line="240" w:before="0" w:after="0"/>
              <w:jc w:val="center"/>
              <w:rPr>
                <w:sz w:val="16"/>
                <w:szCs w:val="16"/>
              </w:rPr>
            </w:pPr>
            <w:r>
              <w:rPr>
                <w:sz w:val="16"/>
                <w:szCs w:val="16"/>
              </w:rPr>
              <w:t>0,005 MPa</w:t>
            </w:r>
          </w:p>
        </w:tc>
      </w:tr>
      <w:tr>
        <w:trPr/>
        <w:tc>
          <w:tcPr>
            <w:tcW w:w="3847" w:type="dxa"/>
            <w:vMerge w:val="continue"/>
            <w:tcBorders/>
            <w:shd w:fill="auto" w:val="clear"/>
            <w:vAlign w:val="center"/>
          </w:tcPr>
          <w:p>
            <w:pPr>
              <w:pStyle w:val="NoSpacing"/>
              <w:spacing w:lineRule="auto" w:line="240" w:before="0" w:after="0"/>
              <w:rPr>
                <w:sz w:val="16"/>
                <w:szCs w:val="16"/>
              </w:rPr>
            </w:pPr>
            <w:r>
              <w:rPr>
                <w:sz w:val="16"/>
                <w:szCs w:val="16"/>
              </w:rPr>
            </w:r>
          </w:p>
        </w:tc>
        <w:tc>
          <w:tcPr>
            <w:tcW w:w="2109" w:type="dxa"/>
            <w:tcBorders/>
            <w:shd w:fill="auto" w:val="clear"/>
            <w:vAlign w:val="center"/>
          </w:tcPr>
          <w:p>
            <w:pPr>
              <w:pStyle w:val="NoSpacing"/>
              <w:spacing w:lineRule="auto" w:line="240" w:before="0" w:after="0"/>
              <w:jc w:val="center"/>
              <w:rPr>
                <w:sz w:val="16"/>
                <w:szCs w:val="16"/>
              </w:rPr>
            </w:pPr>
            <w:r>
              <w:rPr>
                <w:sz w:val="16"/>
                <w:szCs w:val="16"/>
              </w:rPr>
              <w:t xml:space="preserve">≤ </w:t>
            </w:r>
            <w:r>
              <w:rPr>
                <w:sz w:val="16"/>
                <w:szCs w:val="16"/>
              </w:rPr>
              <w:t>90 ° C</w:t>
            </w:r>
          </w:p>
        </w:tc>
        <w:tc>
          <w:tcPr>
            <w:tcW w:w="2515" w:type="dxa"/>
            <w:tcBorders/>
            <w:shd w:fill="auto" w:val="clear"/>
            <w:vAlign w:val="center"/>
          </w:tcPr>
          <w:p>
            <w:pPr>
              <w:pStyle w:val="Normal"/>
              <w:spacing w:lineRule="auto" w:line="240" w:before="0" w:after="0"/>
              <w:jc w:val="center"/>
              <w:rPr>
                <w:sz w:val="16"/>
                <w:szCs w:val="16"/>
              </w:rPr>
            </w:pPr>
            <w:r>
              <w:rPr>
                <w:sz w:val="16"/>
                <w:szCs w:val="16"/>
              </w:rPr>
              <w:t>0,028 MPa</w:t>
            </w:r>
          </w:p>
        </w:tc>
      </w:tr>
      <w:tr>
        <w:trPr/>
        <w:tc>
          <w:tcPr>
            <w:tcW w:w="3847" w:type="dxa"/>
            <w:vMerge w:val="continue"/>
            <w:tcBorders/>
            <w:shd w:fill="auto" w:val="clear"/>
            <w:vAlign w:val="center"/>
          </w:tcPr>
          <w:p>
            <w:pPr>
              <w:pStyle w:val="NoSpacing"/>
              <w:spacing w:lineRule="auto" w:line="240" w:before="0" w:after="0"/>
              <w:rPr>
                <w:sz w:val="16"/>
                <w:szCs w:val="16"/>
              </w:rPr>
            </w:pPr>
            <w:r>
              <w:rPr>
                <w:sz w:val="16"/>
                <w:szCs w:val="16"/>
              </w:rPr>
            </w:r>
          </w:p>
        </w:tc>
        <w:tc>
          <w:tcPr>
            <w:tcW w:w="2109" w:type="dxa"/>
            <w:tcBorders/>
            <w:shd w:fill="auto" w:val="clear"/>
            <w:vAlign w:val="center"/>
          </w:tcPr>
          <w:p>
            <w:pPr>
              <w:pStyle w:val="NoSpacing"/>
              <w:spacing w:lineRule="auto" w:line="240" w:before="0" w:after="0"/>
              <w:jc w:val="center"/>
              <w:rPr>
                <w:sz w:val="16"/>
                <w:szCs w:val="16"/>
              </w:rPr>
            </w:pPr>
            <w:r>
              <w:rPr>
                <w:sz w:val="16"/>
                <w:szCs w:val="16"/>
              </w:rPr>
              <w:t xml:space="preserve">≤ </w:t>
            </w:r>
            <w:r>
              <w:rPr>
                <w:sz w:val="16"/>
                <w:szCs w:val="16"/>
              </w:rPr>
              <w:t>95 ° C</w:t>
            </w:r>
          </w:p>
        </w:tc>
        <w:tc>
          <w:tcPr>
            <w:tcW w:w="2515" w:type="dxa"/>
            <w:tcBorders/>
            <w:shd w:fill="auto" w:val="clear"/>
            <w:vAlign w:val="center"/>
          </w:tcPr>
          <w:p>
            <w:pPr>
              <w:pStyle w:val="Normal"/>
              <w:spacing w:lineRule="auto" w:line="240" w:before="0" w:after="0"/>
              <w:jc w:val="center"/>
              <w:rPr>
                <w:sz w:val="16"/>
                <w:szCs w:val="16"/>
              </w:rPr>
            </w:pPr>
            <w:r>
              <w:rPr>
                <w:sz w:val="16"/>
                <w:szCs w:val="16"/>
              </w:rPr>
              <w:t>0,050 MPa</w:t>
            </w:r>
          </w:p>
        </w:tc>
      </w:tr>
      <w:tr>
        <w:trPr/>
        <w:tc>
          <w:tcPr>
            <w:tcW w:w="3847" w:type="dxa"/>
            <w:tcBorders/>
            <w:shd w:fill="auto" w:val="clear"/>
          </w:tcPr>
          <w:p>
            <w:pPr>
              <w:pStyle w:val="NoSpacing"/>
              <w:spacing w:lineRule="auto" w:line="240" w:before="0" w:after="0"/>
              <w:rPr>
                <w:sz w:val="16"/>
                <w:szCs w:val="16"/>
              </w:rPr>
            </w:pPr>
            <w:r>
              <w:rPr>
                <w:sz w:val="16"/>
                <w:szCs w:val="16"/>
              </w:rPr>
              <w:t>running akustický tlak čerpadla</w:t>
            </w:r>
          </w:p>
        </w:tc>
        <w:tc>
          <w:tcPr>
            <w:tcW w:w="4624" w:type="dxa"/>
            <w:gridSpan w:val="2"/>
            <w:tcBorders/>
            <w:shd w:fill="auto" w:val="clear"/>
          </w:tcPr>
          <w:p>
            <w:pPr>
              <w:pStyle w:val="NoSpacing"/>
              <w:spacing w:lineRule="auto" w:line="240" w:before="0" w:after="0"/>
              <w:jc w:val="center"/>
              <w:rPr>
                <w:sz w:val="16"/>
                <w:szCs w:val="16"/>
              </w:rPr>
            </w:pPr>
            <w:r>
              <w:rPr>
                <w:sz w:val="16"/>
                <w:szCs w:val="16"/>
              </w:rPr>
              <w:t>43 dB (A)</w:t>
            </w:r>
          </w:p>
        </w:tc>
      </w:tr>
      <w:tr>
        <w:trPr/>
        <w:tc>
          <w:tcPr>
            <w:tcW w:w="3847" w:type="dxa"/>
            <w:tcBorders/>
            <w:shd w:fill="auto" w:val="clear"/>
          </w:tcPr>
          <w:p>
            <w:pPr>
              <w:pStyle w:val="NoSpacing"/>
              <w:spacing w:lineRule="auto" w:line="240" w:before="0" w:after="0"/>
              <w:rPr>
                <w:sz w:val="16"/>
                <w:szCs w:val="16"/>
              </w:rPr>
            </w:pPr>
            <w:r>
              <w:rPr>
                <w:sz w:val="16"/>
                <w:szCs w:val="16"/>
              </w:rPr>
              <w:t>Přípustná teplota okolí</w:t>
            </w:r>
          </w:p>
        </w:tc>
        <w:tc>
          <w:tcPr>
            <w:tcW w:w="4624" w:type="dxa"/>
            <w:gridSpan w:val="2"/>
            <w:tcBorders/>
            <w:shd w:fill="auto" w:val="clear"/>
          </w:tcPr>
          <w:p>
            <w:pPr>
              <w:pStyle w:val="NoSpacing"/>
              <w:spacing w:lineRule="auto" w:line="240" w:before="0" w:after="0"/>
              <w:jc w:val="center"/>
              <w:rPr>
                <w:sz w:val="16"/>
                <w:szCs w:val="16"/>
              </w:rPr>
            </w:pPr>
            <w:r>
              <w:rPr>
                <w:sz w:val="16"/>
                <w:szCs w:val="16"/>
              </w:rPr>
              <w:t>0 ~ + 40 ℃</w:t>
            </w:r>
          </w:p>
        </w:tc>
      </w:tr>
      <w:tr>
        <w:trPr/>
        <w:tc>
          <w:tcPr>
            <w:tcW w:w="3847" w:type="dxa"/>
            <w:tcBorders/>
            <w:shd w:fill="auto" w:val="clear"/>
          </w:tcPr>
          <w:p>
            <w:pPr>
              <w:pStyle w:val="NoSpacing"/>
              <w:spacing w:lineRule="auto" w:line="240" w:before="0" w:after="0"/>
              <w:rPr>
                <w:sz w:val="16"/>
                <w:szCs w:val="16"/>
              </w:rPr>
            </w:pPr>
            <w:r>
              <w:rPr>
                <w:sz w:val="16"/>
                <w:szCs w:val="16"/>
              </w:rPr>
              <w:t>Maximální teplota, topného média</w:t>
            </w:r>
          </w:p>
        </w:tc>
        <w:tc>
          <w:tcPr>
            <w:tcW w:w="4624" w:type="dxa"/>
            <w:gridSpan w:val="2"/>
            <w:tcBorders/>
            <w:shd w:fill="auto" w:val="clear"/>
          </w:tcPr>
          <w:p>
            <w:pPr>
              <w:pStyle w:val="NoSpacing"/>
              <w:spacing w:lineRule="auto" w:line="240" w:before="0" w:after="0"/>
              <w:jc w:val="center"/>
              <w:rPr>
                <w:sz w:val="16"/>
                <w:szCs w:val="16"/>
              </w:rPr>
            </w:pPr>
            <w:r>
              <w:rPr>
                <w:sz w:val="16"/>
                <w:szCs w:val="16"/>
              </w:rPr>
              <w:t>TF95</w:t>
            </w:r>
          </w:p>
        </w:tc>
      </w:tr>
      <w:tr>
        <w:trPr/>
        <w:tc>
          <w:tcPr>
            <w:tcW w:w="3847" w:type="dxa"/>
            <w:tcBorders/>
            <w:shd w:fill="auto" w:val="clear"/>
          </w:tcPr>
          <w:p>
            <w:pPr>
              <w:pStyle w:val="NoSpacing"/>
              <w:spacing w:lineRule="auto" w:line="240" w:before="0" w:after="0"/>
              <w:rPr>
                <w:sz w:val="16"/>
                <w:szCs w:val="16"/>
              </w:rPr>
            </w:pPr>
            <w:r>
              <w:rPr>
                <w:sz w:val="16"/>
                <w:szCs w:val="16"/>
              </w:rPr>
              <w:t>Maximální ohřev povrchu čerpadla</w:t>
            </w:r>
          </w:p>
        </w:tc>
        <w:tc>
          <w:tcPr>
            <w:tcW w:w="4624" w:type="dxa"/>
            <w:gridSpan w:val="2"/>
            <w:tcBorders/>
            <w:shd w:fill="auto" w:val="clear"/>
          </w:tcPr>
          <w:p>
            <w:pPr>
              <w:pStyle w:val="NoSpacing"/>
              <w:spacing w:lineRule="auto" w:line="240" w:before="0" w:after="0"/>
              <w:jc w:val="center"/>
              <w:rPr>
                <w:sz w:val="16"/>
                <w:szCs w:val="16"/>
              </w:rPr>
            </w:pPr>
            <w:r>
              <w:rPr>
                <w:sz w:val="16"/>
                <w:szCs w:val="16"/>
              </w:rPr>
              <w:t xml:space="preserve">≤ </w:t>
            </w:r>
            <w:r>
              <w:rPr>
                <w:sz w:val="16"/>
                <w:szCs w:val="16"/>
              </w:rPr>
              <w:t>110 ℃</w:t>
            </w:r>
          </w:p>
        </w:tc>
      </w:tr>
      <w:tr>
        <w:trPr/>
        <w:tc>
          <w:tcPr>
            <w:tcW w:w="3847" w:type="dxa"/>
            <w:tcBorders/>
            <w:shd w:fill="auto" w:val="clear"/>
          </w:tcPr>
          <w:p>
            <w:pPr>
              <w:pStyle w:val="NoSpacing"/>
              <w:spacing w:lineRule="auto" w:line="240" w:before="0" w:after="0"/>
              <w:rPr>
                <w:sz w:val="16"/>
                <w:szCs w:val="16"/>
              </w:rPr>
            </w:pPr>
            <w:r>
              <w:rPr>
                <w:sz w:val="16"/>
                <w:szCs w:val="16"/>
              </w:rPr>
              <w:t>Teplotní rozsah čerpané kapaliny</w:t>
            </w:r>
          </w:p>
        </w:tc>
        <w:tc>
          <w:tcPr>
            <w:tcW w:w="4624" w:type="dxa"/>
            <w:gridSpan w:val="2"/>
            <w:tcBorders/>
            <w:shd w:fill="auto" w:val="clear"/>
          </w:tcPr>
          <w:p>
            <w:pPr>
              <w:pStyle w:val="NoSpacing"/>
              <w:spacing w:lineRule="auto" w:line="240" w:before="0" w:after="0"/>
              <w:jc w:val="center"/>
              <w:rPr>
                <w:sz w:val="16"/>
                <w:szCs w:val="16"/>
              </w:rPr>
            </w:pPr>
            <w:r>
              <w:rPr>
                <w:sz w:val="16"/>
                <w:szCs w:val="16"/>
              </w:rPr>
              <w:t>2 ~ + 95 ℃</w:t>
            </w:r>
          </w:p>
        </w:tc>
      </w:tr>
      <w:tr>
        <w:trPr/>
        <w:tc>
          <w:tcPr>
            <w:tcW w:w="3847" w:type="dxa"/>
            <w:tcBorders/>
            <w:shd w:fill="auto" w:val="clear"/>
          </w:tcPr>
          <w:p>
            <w:pPr>
              <w:pStyle w:val="NoSpacing"/>
              <w:spacing w:lineRule="auto" w:line="240" w:before="0" w:after="0"/>
              <w:rPr>
                <w:sz w:val="16"/>
                <w:szCs w:val="16"/>
              </w:rPr>
            </w:pPr>
            <w:r>
              <w:rPr>
                <w:sz w:val="16"/>
                <w:szCs w:val="16"/>
              </w:rPr>
            </w:r>
          </w:p>
        </w:tc>
        <w:tc>
          <w:tcPr>
            <w:tcW w:w="4624" w:type="dxa"/>
            <w:gridSpan w:val="2"/>
            <w:tcBorders/>
            <w:shd w:fill="auto" w:val="clear"/>
          </w:tcPr>
          <w:p>
            <w:pPr>
              <w:pStyle w:val="NoSpacing"/>
              <w:spacing w:lineRule="auto" w:line="240" w:before="0" w:after="0"/>
              <w:jc w:val="center"/>
              <w:rPr>
                <w:sz w:val="16"/>
                <w:szCs w:val="16"/>
              </w:rPr>
            </w:pPr>
            <w:r>
              <w:rPr>
                <w:sz w:val="16"/>
                <w:szCs w:val="16"/>
              </w:rPr>
            </w:r>
          </w:p>
        </w:tc>
      </w:tr>
    </w:tbl>
    <w:p>
      <w:pPr>
        <w:pStyle w:val="NoSpacing"/>
        <w:ind w:left="644" w:hanging="0"/>
        <w:rPr/>
      </w:pPr>
      <w:r>
        <w:rPr/>
      </w:r>
    </w:p>
    <w:p>
      <w:pPr>
        <w:pStyle w:val="NoSpacing"/>
        <w:ind w:left="644" w:hanging="0"/>
        <w:rPr/>
      </w:pPr>
      <w:r>
        <w:rPr/>
      </w:r>
    </w:p>
    <w:p>
      <w:pPr>
        <w:pStyle w:val="NoSpacing"/>
        <w:ind w:left="644" w:hanging="0"/>
        <w:rPr/>
      </w:pPr>
      <w:r>
        <w:rPr/>
      </w:r>
    </w:p>
    <w:p>
      <w:pPr>
        <w:pStyle w:val="NoSpacing"/>
        <w:ind w:left="644" w:hanging="0"/>
        <w:rPr/>
      </w:pPr>
      <w:r>
        <w:rPr/>
      </w:r>
    </w:p>
    <w:p>
      <w:pPr>
        <w:pStyle w:val="NoSpacing"/>
        <w:ind w:left="644" w:hanging="0"/>
        <w:rPr/>
      </w:pPr>
      <w:r>
        <w:rPr/>
      </w:r>
    </w:p>
    <w:p>
      <w:pPr>
        <w:pStyle w:val="NoSpacing"/>
        <w:ind w:left="644" w:hanging="0"/>
        <w:rPr/>
      </w:pPr>
      <w:r>
        <w:rPr/>
      </w:r>
    </w:p>
    <w:p>
      <w:pPr>
        <w:pStyle w:val="NoSpacing"/>
        <w:ind w:left="644" w:hanging="0"/>
        <w:rPr/>
      </w:pPr>
      <w:r>
        <w:rPr/>
      </w:r>
    </w:p>
    <w:p>
      <w:pPr>
        <w:pStyle w:val="NoSpacing"/>
        <w:ind w:left="644" w:hanging="0"/>
        <w:rPr/>
      </w:pPr>
      <w:r>
        <w:rPr/>
      </w:r>
    </w:p>
    <w:p>
      <w:pPr>
        <w:pStyle w:val="NoSpacing"/>
        <w:ind w:left="644" w:hanging="0"/>
        <w:rPr/>
      </w:pPr>
      <w:r>
        <w:rPr/>
      </w:r>
    </w:p>
    <w:p>
      <w:pPr>
        <w:pStyle w:val="NoSpacing"/>
        <w:numPr>
          <w:ilvl w:val="0"/>
          <w:numId w:val="5"/>
        </w:numPr>
        <w:rPr>
          <w:b/>
          <w:b/>
        </w:rPr>
      </w:pPr>
      <w:r>
        <w:rPr>
          <w:b/>
        </w:rPr>
        <w:t>Možné problémy a způsoby jejich zneškodňování</w:t>
      </w:r>
    </w:p>
    <w:p>
      <w:pPr>
        <w:pStyle w:val="NoSpacing"/>
        <w:ind w:left="644" w:hanging="0"/>
        <w:rPr/>
      </w:pPr>
      <w:r>
        <w:rPr/>
        <w:drawing>
          <wp:inline distT="0" distB="0" distL="0" distR="0">
            <wp:extent cx="329565" cy="292735"/>
            <wp:effectExtent l="0" t="0" r="0" b="0"/>
            <wp:docPr id="30" name="Obraz 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293" descr=""/>
                    <pic:cNvPicPr>
                      <a:picLocks noChangeAspect="1" noChangeArrowheads="1"/>
                    </pic:cNvPicPr>
                  </pic:nvPicPr>
                  <pic:blipFill>
                    <a:blip r:embed="rId32"/>
                    <a:stretch>
                      <a:fillRect/>
                    </a:stretch>
                  </pic:blipFill>
                  <pic:spPr bwMode="auto">
                    <a:xfrm>
                      <a:off x="0" y="0"/>
                      <a:ext cx="329565" cy="292735"/>
                    </a:xfrm>
                    <a:prstGeom prst="rect">
                      <a:avLst/>
                    </a:prstGeom>
                  </pic:spPr>
                </pic:pic>
              </a:graphicData>
            </a:graphic>
          </wp:inline>
        </w:drawing>
      </w:r>
      <w:r>
        <w:rPr/>
        <w:t>Varování:</w:t>
      </w:r>
    </w:p>
    <w:p>
      <w:pPr>
        <w:pStyle w:val="NoSpacing"/>
        <w:ind w:left="644" w:hanging="0"/>
        <w:jc w:val="both"/>
        <w:rPr/>
      </w:pPr>
      <w:r>
        <w:rPr/>
        <w:t xml:space="preserve">Před prováděním údržby a opravy čerpadla se ujistěte, že je přístroj odpojen a nemůže být náhodně zapnuto. </w:t>
      </w:r>
    </w:p>
    <w:tbl>
      <w:tblPr>
        <w:tblStyle w:val="Tabela-Siatka"/>
        <w:tblW w:w="8643" w:type="dxa"/>
        <w:jc w:val="left"/>
        <w:tblInd w:w="644" w:type="dxa"/>
        <w:tblCellMar>
          <w:top w:w="0" w:type="dxa"/>
          <w:left w:w="108" w:type="dxa"/>
          <w:bottom w:w="0" w:type="dxa"/>
          <w:right w:w="108" w:type="dxa"/>
        </w:tblCellMar>
        <w:tblLook w:val="04a0"/>
      </w:tblPr>
      <w:tblGrid>
        <w:gridCol w:w="2873"/>
        <w:gridCol w:w="2887"/>
        <w:gridCol w:w="2883"/>
      </w:tblGrid>
      <w:tr>
        <w:trPr/>
        <w:tc>
          <w:tcPr>
            <w:tcW w:w="2873" w:type="dxa"/>
            <w:tcBorders/>
            <w:shd w:fill="auto" w:val="clear"/>
          </w:tcPr>
          <w:p>
            <w:pPr>
              <w:pStyle w:val="NoSpacing"/>
              <w:spacing w:lineRule="auto" w:line="240" w:before="0" w:after="0"/>
              <w:rPr>
                <w:sz w:val="16"/>
                <w:szCs w:val="16"/>
              </w:rPr>
            </w:pPr>
            <w:r>
              <w:rPr>
                <w:sz w:val="16"/>
                <w:szCs w:val="16"/>
              </w:rPr>
              <w:t>problém:</w:t>
            </w:r>
          </w:p>
        </w:tc>
        <w:tc>
          <w:tcPr>
            <w:tcW w:w="2887" w:type="dxa"/>
            <w:tcBorders/>
            <w:shd w:fill="auto" w:val="clear"/>
          </w:tcPr>
          <w:p>
            <w:pPr>
              <w:pStyle w:val="NoSpacing"/>
              <w:spacing w:lineRule="auto" w:line="240" w:before="0" w:after="0"/>
              <w:rPr>
                <w:sz w:val="16"/>
                <w:szCs w:val="16"/>
              </w:rPr>
            </w:pPr>
            <w:r>
              <w:rPr>
                <w:sz w:val="16"/>
                <w:szCs w:val="16"/>
              </w:rPr>
              <w:t>Možná příčina:</w:t>
            </w:r>
          </w:p>
        </w:tc>
        <w:tc>
          <w:tcPr>
            <w:tcW w:w="2883" w:type="dxa"/>
            <w:tcBorders/>
            <w:shd w:fill="auto" w:val="clear"/>
          </w:tcPr>
          <w:p>
            <w:pPr>
              <w:pStyle w:val="NoSpacing"/>
              <w:spacing w:lineRule="auto" w:line="240" w:before="0" w:after="0"/>
              <w:rPr>
                <w:sz w:val="16"/>
                <w:szCs w:val="16"/>
              </w:rPr>
            </w:pPr>
            <w:r>
              <w:rPr>
                <w:sz w:val="16"/>
                <w:szCs w:val="16"/>
              </w:rPr>
              <w:t>Náprava:</w:t>
            </w:r>
          </w:p>
        </w:tc>
      </w:tr>
      <w:tr>
        <w:trPr/>
        <w:tc>
          <w:tcPr>
            <w:tcW w:w="2873" w:type="dxa"/>
            <w:vMerge w:val="restart"/>
            <w:tcBorders/>
            <w:shd w:fill="auto" w:val="clear"/>
          </w:tcPr>
          <w:p>
            <w:pPr>
              <w:pStyle w:val="NoSpacing"/>
              <w:spacing w:lineRule="auto" w:line="240" w:before="0" w:after="0"/>
              <w:rPr>
                <w:sz w:val="16"/>
                <w:szCs w:val="16"/>
              </w:rPr>
            </w:pPr>
            <w:r>
              <w:rPr>
                <w:sz w:val="16"/>
                <w:szCs w:val="16"/>
              </w:rPr>
              <w:t>Čerpadlo se nespustí</w:t>
            </w:r>
          </w:p>
        </w:tc>
        <w:tc>
          <w:tcPr>
            <w:tcW w:w="2887" w:type="dxa"/>
            <w:tcBorders/>
            <w:shd w:fill="auto" w:val="clear"/>
          </w:tcPr>
          <w:p>
            <w:pPr>
              <w:pStyle w:val="NoSpacing"/>
              <w:spacing w:lineRule="auto" w:line="240" w:before="0" w:after="0"/>
              <w:rPr>
                <w:sz w:val="16"/>
                <w:szCs w:val="16"/>
              </w:rPr>
            </w:pPr>
            <w:r>
              <w:rPr>
                <w:sz w:val="16"/>
                <w:szCs w:val="16"/>
              </w:rPr>
              <w:t>jistič hořel</w:t>
            </w:r>
          </w:p>
        </w:tc>
        <w:tc>
          <w:tcPr>
            <w:tcW w:w="2883" w:type="dxa"/>
            <w:tcBorders/>
            <w:shd w:fill="auto" w:val="clear"/>
          </w:tcPr>
          <w:p>
            <w:pPr>
              <w:pStyle w:val="NoSpacing"/>
              <w:spacing w:lineRule="auto" w:line="240" w:before="0" w:after="0"/>
              <w:rPr>
                <w:sz w:val="16"/>
                <w:szCs w:val="16"/>
              </w:rPr>
            </w:pPr>
            <w:r>
              <w:rPr>
                <w:sz w:val="16"/>
                <w:szCs w:val="16"/>
              </w:rPr>
              <w:t>Zkontrolujte příčinu, vyměňte pojistku</w:t>
            </w:r>
          </w:p>
        </w:tc>
      </w:tr>
      <w:tr>
        <w:trPr/>
        <w:tc>
          <w:tcPr>
            <w:tcW w:w="2873" w:type="dxa"/>
            <w:vMerge w:val="continue"/>
            <w:tcBorders/>
            <w:shd w:fill="auto" w:val="clear"/>
          </w:tcPr>
          <w:p>
            <w:pPr>
              <w:pStyle w:val="NoSpacing"/>
              <w:spacing w:lineRule="auto" w:line="240" w:before="0" w:after="0"/>
              <w:rPr>
                <w:sz w:val="16"/>
                <w:szCs w:val="16"/>
              </w:rPr>
            </w:pPr>
            <w:r>
              <w:rPr>
                <w:sz w:val="16"/>
                <w:szCs w:val="16"/>
              </w:rPr>
            </w:r>
          </w:p>
        </w:tc>
        <w:tc>
          <w:tcPr>
            <w:tcW w:w="2887" w:type="dxa"/>
            <w:tcBorders/>
            <w:shd w:fill="auto" w:val="clear"/>
          </w:tcPr>
          <w:p>
            <w:pPr>
              <w:pStyle w:val="NoSpacing"/>
              <w:spacing w:lineRule="auto" w:line="240" w:before="0" w:after="0"/>
              <w:rPr>
                <w:sz w:val="16"/>
                <w:szCs w:val="16"/>
              </w:rPr>
            </w:pPr>
            <w:r>
              <w:rPr>
                <w:sz w:val="16"/>
                <w:szCs w:val="16"/>
              </w:rPr>
              <w:t>Jistič off</w:t>
            </w:r>
          </w:p>
        </w:tc>
        <w:tc>
          <w:tcPr>
            <w:tcW w:w="2883" w:type="dxa"/>
            <w:tcBorders/>
            <w:shd w:fill="auto" w:val="clear"/>
          </w:tcPr>
          <w:p>
            <w:pPr>
              <w:pStyle w:val="NoSpacing"/>
              <w:spacing w:lineRule="auto" w:line="240" w:before="0" w:after="0"/>
              <w:rPr>
                <w:sz w:val="16"/>
                <w:szCs w:val="16"/>
              </w:rPr>
            </w:pPr>
            <w:r>
              <w:rPr>
                <w:sz w:val="16"/>
                <w:szCs w:val="16"/>
              </w:rPr>
              <w:t>zapínání</w:t>
            </w:r>
          </w:p>
        </w:tc>
      </w:tr>
      <w:tr>
        <w:trPr/>
        <w:tc>
          <w:tcPr>
            <w:tcW w:w="2873" w:type="dxa"/>
            <w:vMerge w:val="continue"/>
            <w:tcBorders/>
            <w:shd w:fill="auto" w:val="clear"/>
          </w:tcPr>
          <w:p>
            <w:pPr>
              <w:pStyle w:val="NoSpacing"/>
              <w:spacing w:lineRule="auto" w:line="240" w:before="0" w:after="0"/>
              <w:rPr>
                <w:sz w:val="16"/>
                <w:szCs w:val="16"/>
              </w:rPr>
            </w:pPr>
            <w:r>
              <w:rPr>
                <w:sz w:val="16"/>
                <w:szCs w:val="16"/>
              </w:rPr>
            </w:r>
          </w:p>
        </w:tc>
        <w:tc>
          <w:tcPr>
            <w:tcW w:w="2887" w:type="dxa"/>
            <w:tcBorders/>
            <w:shd w:fill="auto" w:val="clear"/>
          </w:tcPr>
          <w:p>
            <w:pPr>
              <w:pStyle w:val="NoSpacing"/>
              <w:spacing w:lineRule="auto" w:line="240" w:before="0" w:after="0"/>
              <w:rPr>
                <w:sz w:val="16"/>
                <w:szCs w:val="16"/>
              </w:rPr>
            </w:pPr>
            <w:r>
              <w:rPr>
                <w:sz w:val="16"/>
                <w:szCs w:val="16"/>
              </w:rPr>
              <w:t>přeběhl čerpadlo</w:t>
            </w:r>
          </w:p>
        </w:tc>
        <w:tc>
          <w:tcPr>
            <w:tcW w:w="2883" w:type="dxa"/>
            <w:tcBorders/>
            <w:shd w:fill="auto" w:val="clear"/>
          </w:tcPr>
          <w:p>
            <w:pPr>
              <w:pStyle w:val="NoSpacing"/>
              <w:spacing w:lineRule="auto" w:line="240" w:before="0" w:after="0"/>
              <w:rPr>
                <w:sz w:val="16"/>
                <w:szCs w:val="16"/>
              </w:rPr>
            </w:pPr>
            <w:r>
              <w:rPr>
                <w:sz w:val="16"/>
                <w:szCs w:val="16"/>
              </w:rPr>
              <w:t>vyměňte čerpadlo</w:t>
            </w:r>
          </w:p>
        </w:tc>
      </w:tr>
      <w:tr>
        <w:trPr/>
        <w:tc>
          <w:tcPr>
            <w:tcW w:w="2873" w:type="dxa"/>
            <w:vMerge w:val="continue"/>
            <w:tcBorders/>
            <w:shd w:fill="auto" w:val="clear"/>
          </w:tcPr>
          <w:p>
            <w:pPr>
              <w:pStyle w:val="NoSpacing"/>
              <w:spacing w:lineRule="auto" w:line="240" w:before="0" w:after="0"/>
              <w:rPr>
                <w:sz w:val="16"/>
                <w:szCs w:val="16"/>
              </w:rPr>
            </w:pPr>
            <w:r>
              <w:rPr>
                <w:sz w:val="16"/>
                <w:szCs w:val="16"/>
              </w:rPr>
            </w:r>
          </w:p>
        </w:tc>
        <w:tc>
          <w:tcPr>
            <w:tcW w:w="2887" w:type="dxa"/>
            <w:tcBorders/>
            <w:shd w:fill="auto" w:val="clear"/>
          </w:tcPr>
          <w:p>
            <w:pPr>
              <w:pStyle w:val="NoSpacing"/>
              <w:spacing w:lineRule="auto" w:line="240" w:before="0" w:after="0"/>
              <w:rPr>
                <w:sz w:val="16"/>
                <w:szCs w:val="16"/>
              </w:rPr>
            </w:pPr>
            <w:r>
              <w:rPr>
                <w:sz w:val="16"/>
                <w:szCs w:val="16"/>
              </w:rPr>
              <w:t>Příliš nízké napětí</w:t>
            </w:r>
          </w:p>
        </w:tc>
        <w:tc>
          <w:tcPr>
            <w:tcW w:w="2883" w:type="dxa"/>
            <w:tcBorders/>
            <w:shd w:fill="auto" w:val="clear"/>
          </w:tcPr>
          <w:p>
            <w:pPr>
              <w:pStyle w:val="NoSpacing"/>
              <w:spacing w:lineRule="auto" w:line="240" w:before="0" w:after="0"/>
              <w:rPr>
                <w:sz w:val="16"/>
                <w:szCs w:val="16"/>
              </w:rPr>
            </w:pPr>
            <w:r>
              <w:rPr>
                <w:sz w:val="16"/>
                <w:szCs w:val="16"/>
              </w:rPr>
              <w:t>Zkontrolujte, zda síťové napětí je kompatibilní se specifikacemi dodavatele</w:t>
            </w:r>
          </w:p>
        </w:tc>
      </w:tr>
      <w:tr>
        <w:trPr/>
        <w:tc>
          <w:tcPr>
            <w:tcW w:w="2873" w:type="dxa"/>
            <w:vMerge w:val="continue"/>
            <w:tcBorders/>
            <w:shd w:fill="auto" w:val="clear"/>
          </w:tcPr>
          <w:p>
            <w:pPr>
              <w:pStyle w:val="NoSpacing"/>
              <w:spacing w:lineRule="auto" w:line="240" w:before="0" w:after="0"/>
              <w:rPr>
                <w:sz w:val="16"/>
                <w:szCs w:val="16"/>
              </w:rPr>
            </w:pPr>
            <w:r>
              <w:rPr>
                <w:sz w:val="16"/>
                <w:szCs w:val="16"/>
              </w:rPr>
            </w:r>
          </w:p>
        </w:tc>
        <w:tc>
          <w:tcPr>
            <w:tcW w:w="2887" w:type="dxa"/>
            <w:tcBorders/>
            <w:shd w:fill="auto" w:val="clear"/>
          </w:tcPr>
          <w:p>
            <w:pPr>
              <w:pStyle w:val="NoSpacing"/>
              <w:spacing w:lineRule="auto" w:line="240" w:before="0" w:after="0"/>
              <w:rPr>
                <w:sz w:val="16"/>
                <w:szCs w:val="16"/>
              </w:rPr>
            </w:pPr>
            <w:r>
              <w:rPr>
                <w:sz w:val="16"/>
                <w:szCs w:val="16"/>
              </w:rPr>
              <w:t>Zablokovaný rotor čerpadla</w:t>
            </w:r>
          </w:p>
        </w:tc>
        <w:tc>
          <w:tcPr>
            <w:tcW w:w="2883" w:type="dxa"/>
            <w:tcBorders/>
            <w:shd w:fill="auto" w:val="clear"/>
          </w:tcPr>
          <w:p>
            <w:pPr>
              <w:pStyle w:val="NoSpacing"/>
              <w:spacing w:lineRule="auto" w:line="240" w:before="0" w:after="0"/>
              <w:rPr>
                <w:sz w:val="16"/>
                <w:szCs w:val="16"/>
              </w:rPr>
            </w:pPr>
            <w:r>
              <w:rPr>
                <w:sz w:val="16"/>
                <w:szCs w:val="16"/>
              </w:rPr>
              <w:t>Odemknout rotor</w:t>
            </w:r>
          </w:p>
        </w:tc>
      </w:tr>
      <w:tr>
        <w:trPr/>
        <w:tc>
          <w:tcPr>
            <w:tcW w:w="2873" w:type="dxa"/>
            <w:vMerge w:val="restart"/>
            <w:tcBorders/>
            <w:shd w:fill="auto" w:val="clear"/>
          </w:tcPr>
          <w:p>
            <w:pPr>
              <w:pStyle w:val="NoSpacing"/>
              <w:spacing w:lineRule="auto" w:line="240" w:before="0" w:after="0"/>
              <w:rPr>
                <w:sz w:val="16"/>
                <w:szCs w:val="16"/>
              </w:rPr>
            </w:pPr>
            <w:r>
              <w:rPr>
                <w:sz w:val="16"/>
                <w:szCs w:val="16"/>
              </w:rPr>
              <w:t>hlučný systém</w:t>
            </w:r>
          </w:p>
        </w:tc>
        <w:tc>
          <w:tcPr>
            <w:tcW w:w="2887" w:type="dxa"/>
            <w:tcBorders/>
            <w:shd w:fill="auto" w:val="clear"/>
          </w:tcPr>
          <w:p>
            <w:pPr>
              <w:pStyle w:val="NoSpacing"/>
              <w:spacing w:lineRule="auto" w:line="240" w:before="0" w:after="0"/>
              <w:rPr>
                <w:sz w:val="16"/>
                <w:szCs w:val="16"/>
              </w:rPr>
            </w:pPr>
            <w:r>
              <w:rPr>
                <w:sz w:val="16"/>
                <w:szCs w:val="16"/>
              </w:rPr>
              <w:t>Vzduch v</w:t>
            </w:r>
          </w:p>
        </w:tc>
        <w:tc>
          <w:tcPr>
            <w:tcW w:w="2883" w:type="dxa"/>
            <w:tcBorders/>
            <w:shd w:fill="auto" w:val="clear"/>
          </w:tcPr>
          <w:p>
            <w:pPr>
              <w:pStyle w:val="NoSpacing"/>
              <w:spacing w:lineRule="auto" w:line="240" w:before="0" w:after="0"/>
              <w:rPr>
                <w:sz w:val="16"/>
                <w:szCs w:val="16"/>
              </w:rPr>
            </w:pPr>
            <w:r>
              <w:rPr>
                <w:sz w:val="16"/>
                <w:szCs w:val="16"/>
              </w:rPr>
              <w:t>instalace Odpowietrzyj</w:t>
            </w:r>
          </w:p>
        </w:tc>
      </w:tr>
      <w:tr>
        <w:trPr/>
        <w:tc>
          <w:tcPr>
            <w:tcW w:w="2873" w:type="dxa"/>
            <w:vMerge w:val="continue"/>
            <w:tcBorders/>
            <w:shd w:fill="auto" w:val="clear"/>
          </w:tcPr>
          <w:p>
            <w:pPr>
              <w:pStyle w:val="NoSpacing"/>
              <w:spacing w:lineRule="auto" w:line="240" w:before="0" w:after="0"/>
              <w:rPr>
                <w:sz w:val="16"/>
                <w:szCs w:val="16"/>
              </w:rPr>
            </w:pPr>
            <w:r>
              <w:rPr>
                <w:sz w:val="16"/>
                <w:szCs w:val="16"/>
              </w:rPr>
            </w:r>
          </w:p>
        </w:tc>
        <w:tc>
          <w:tcPr>
            <w:tcW w:w="2887" w:type="dxa"/>
            <w:tcBorders/>
            <w:shd w:fill="auto" w:val="clear"/>
          </w:tcPr>
          <w:p>
            <w:pPr>
              <w:pStyle w:val="NoSpacing"/>
              <w:spacing w:lineRule="auto" w:line="240" w:before="0" w:after="0"/>
              <w:rPr>
                <w:sz w:val="16"/>
                <w:szCs w:val="16"/>
              </w:rPr>
            </w:pPr>
            <w:r>
              <w:rPr>
                <w:sz w:val="16"/>
                <w:szCs w:val="16"/>
              </w:rPr>
              <w:t>Příliš velký průtok</w:t>
            </w:r>
          </w:p>
        </w:tc>
        <w:tc>
          <w:tcPr>
            <w:tcW w:w="2883" w:type="dxa"/>
            <w:tcBorders/>
            <w:shd w:fill="auto" w:val="clear"/>
          </w:tcPr>
          <w:p>
            <w:pPr>
              <w:pStyle w:val="NoSpacing"/>
              <w:spacing w:lineRule="auto" w:line="240" w:before="0" w:after="0"/>
              <w:rPr>
                <w:sz w:val="16"/>
                <w:szCs w:val="16"/>
              </w:rPr>
            </w:pPr>
            <w:r>
              <w:rPr>
                <w:sz w:val="16"/>
                <w:szCs w:val="16"/>
              </w:rPr>
              <w:t>Snížit tlak na naplavené vstupu do čerpadla</w:t>
            </w:r>
          </w:p>
        </w:tc>
      </w:tr>
      <w:tr>
        <w:trPr/>
        <w:tc>
          <w:tcPr>
            <w:tcW w:w="2873" w:type="dxa"/>
            <w:vMerge w:val="restart"/>
            <w:tcBorders/>
            <w:shd w:fill="auto" w:val="clear"/>
          </w:tcPr>
          <w:p>
            <w:pPr>
              <w:pStyle w:val="NoSpacing"/>
              <w:spacing w:lineRule="auto" w:line="240" w:before="0" w:after="0"/>
              <w:rPr>
                <w:sz w:val="16"/>
                <w:szCs w:val="16"/>
              </w:rPr>
            </w:pPr>
            <w:r>
              <w:rPr>
                <w:sz w:val="16"/>
                <w:szCs w:val="16"/>
              </w:rPr>
              <w:t>Loud čerpadlo</w:t>
            </w:r>
          </w:p>
        </w:tc>
        <w:tc>
          <w:tcPr>
            <w:tcW w:w="2887" w:type="dxa"/>
            <w:tcBorders/>
            <w:shd w:fill="auto" w:val="clear"/>
          </w:tcPr>
          <w:p>
            <w:pPr>
              <w:pStyle w:val="NoSpacing"/>
              <w:spacing w:lineRule="auto" w:line="240" w:before="0" w:after="0"/>
              <w:rPr>
                <w:sz w:val="16"/>
                <w:szCs w:val="16"/>
              </w:rPr>
            </w:pPr>
            <w:r>
              <w:rPr>
                <w:sz w:val="16"/>
                <w:szCs w:val="16"/>
              </w:rPr>
              <w:t>Vzduch v čerpadle</w:t>
            </w:r>
          </w:p>
        </w:tc>
        <w:tc>
          <w:tcPr>
            <w:tcW w:w="2883" w:type="dxa"/>
            <w:tcBorders/>
            <w:shd w:fill="auto" w:val="clear"/>
          </w:tcPr>
          <w:p>
            <w:pPr>
              <w:pStyle w:val="NoSpacing"/>
              <w:spacing w:lineRule="auto" w:line="240" w:before="0" w:after="0"/>
              <w:rPr>
                <w:sz w:val="16"/>
                <w:szCs w:val="16"/>
              </w:rPr>
            </w:pPr>
            <w:r>
              <w:rPr>
                <w:sz w:val="16"/>
                <w:szCs w:val="16"/>
              </w:rPr>
              <w:t>proveďte odvzdušnění</w:t>
            </w:r>
          </w:p>
        </w:tc>
      </w:tr>
      <w:tr>
        <w:trPr/>
        <w:tc>
          <w:tcPr>
            <w:tcW w:w="2873" w:type="dxa"/>
            <w:vMerge w:val="continue"/>
            <w:tcBorders/>
            <w:shd w:fill="auto" w:val="clear"/>
          </w:tcPr>
          <w:p>
            <w:pPr>
              <w:pStyle w:val="NoSpacing"/>
              <w:spacing w:lineRule="auto" w:line="240" w:before="0" w:after="0"/>
              <w:rPr>
                <w:sz w:val="16"/>
                <w:szCs w:val="16"/>
              </w:rPr>
            </w:pPr>
            <w:r>
              <w:rPr>
                <w:sz w:val="16"/>
                <w:szCs w:val="16"/>
              </w:rPr>
            </w:r>
          </w:p>
        </w:tc>
        <w:tc>
          <w:tcPr>
            <w:tcW w:w="2887" w:type="dxa"/>
            <w:tcBorders/>
            <w:shd w:fill="auto" w:val="clear"/>
          </w:tcPr>
          <w:p>
            <w:pPr>
              <w:pStyle w:val="NoSpacing"/>
              <w:spacing w:lineRule="auto" w:line="240" w:before="0" w:after="0"/>
              <w:rPr>
                <w:sz w:val="16"/>
                <w:szCs w:val="16"/>
              </w:rPr>
            </w:pPr>
            <w:r>
              <w:rPr>
                <w:sz w:val="16"/>
                <w:szCs w:val="16"/>
              </w:rPr>
              <w:t>Příliš malý tlak kavitace napływu-</w:t>
            </w:r>
          </w:p>
        </w:tc>
        <w:tc>
          <w:tcPr>
            <w:tcW w:w="2883" w:type="dxa"/>
            <w:tcBorders/>
            <w:shd w:fill="auto" w:val="clear"/>
          </w:tcPr>
          <w:p>
            <w:pPr>
              <w:pStyle w:val="NoSpacing"/>
              <w:spacing w:lineRule="auto" w:line="240" w:before="0" w:after="0"/>
              <w:rPr>
                <w:sz w:val="16"/>
                <w:szCs w:val="16"/>
              </w:rPr>
            </w:pPr>
            <w:r>
              <w:rPr>
                <w:sz w:val="16"/>
                <w:szCs w:val="16"/>
              </w:rPr>
              <w:t>Zvýšení vstupní tlak na vstupu do čerpadla</w:t>
            </w:r>
          </w:p>
        </w:tc>
      </w:tr>
      <w:tr>
        <w:trPr/>
        <w:tc>
          <w:tcPr>
            <w:tcW w:w="2873" w:type="dxa"/>
            <w:tcBorders/>
            <w:shd w:fill="auto" w:val="clear"/>
          </w:tcPr>
          <w:p>
            <w:pPr>
              <w:pStyle w:val="NoSpacing"/>
              <w:spacing w:lineRule="auto" w:line="240" w:before="0" w:after="0"/>
              <w:rPr>
                <w:sz w:val="16"/>
                <w:szCs w:val="16"/>
              </w:rPr>
            </w:pPr>
            <w:r>
              <w:rPr>
                <w:sz w:val="16"/>
                <w:szCs w:val="16"/>
              </w:rPr>
              <w:t>Nedostatek tepla v systému</w:t>
            </w:r>
          </w:p>
        </w:tc>
        <w:tc>
          <w:tcPr>
            <w:tcW w:w="2887" w:type="dxa"/>
            <w:tcBorders/>
            <w:shd w:fill="auto" w:val="clear"/>
          </w:tcPr>
          <w:p>
            <w:pPr>
              <w:pStyle w:val="NoSpacing"/>
              <w:spacing w:lineRule="auto" w:line="240" w:before="0" w:after="0"/>
              <w:rPr>
                <w:sz w:val="16"/>
                <w:szCs w:val="16"/>
              </w:rPr>
            </w:pPr>
            <w:r>
              <w:rPr>
                <w:sz w:val="16"/>
                <w:szCs w:val="16"/>
              </w:rPr>
              <w:t>Malé parametry čerpadla</w:t>
            </w:r>
          </w:p>
        </w:tc>
        <w:tc>
          <w:tcPr>
            <w:tcW w:w="2883" w:type="dxa"/>
            <w:tcBorders/>
            <w:shd w:fill="auto" w:val="clear"/>
          </w:tcPr>
          <w:p>
            <w:pPr>
              <w:pStyle w:val="NoSpacing"/>
              <w:spacing w:lineRule="auto" w:line="240" w:before="0" w:after="0"/>
              <w:rPr>
                <w:sz w:val="16"/>
                <w:szCs w:val="16"/>
              </w:rPr>
            </w:pPr>
            <w:r>
              <w:rPr>
                <w:sz w:val="16"/>
                <w:szCs w:val="16"/>
              </w:rPr>
              <w:t>Pokud můžete zvýšit režim čerpadla efektivnější, jinak instalovat výkonnější čerpadlo</w:t>
            </w:r>
          </w:p>
        </w:tc>
      </w:tr>
    </w:tbl>
    <w:p>
      <w:pPr>
        <w:pStyle w:val="ListParagraph"/>
        <w:ind w:left="644" w:hanging="0"/>
        <w:rPr/>
      </w:pPr>
      <w:r>
        <w:rPr/>
      </w:r>
    </w:p>
    <w:p>
      <w:pPr>
        <w:pStyle w:val="ListParagraph"/>
        <w:numPr>
          <w:ilvl w:val="0"/>
          <w:numId w:val="5"/>
        </w:numPr>
        <w:rPr>
          <w:b/>
          <w:b/>
        </w:rPr>
      </w:pPr>
      <w:r>
        <w:rPr>
          <w:b/>
        </w:rPr>
        <w:t>LIKVIDACE</w:t>
      </w:r>
    </w:p>
    <w:p>
      <w:pPr>
        <w:pStyle w:val="Normal"/>
        <w:ind w:left="567" w:hanging="0"/>
        <w:jc w:val="both"/>
        <w:rPr/>
      </w:pPr>
      <w:r>
        <w:drawing>
          <wp:anchor behindDoc="0" distT="0" distB="0" distL="114300" distR="114300" simplePos="0" locked="0" layoutInCell="1" allowOverlap="1" relativeHeight="11">
            <wp:simplePos x="0" y="0"/>
            <wp:positionH relativeFrom="column">
              <wp:posOffset>3810</wp:posOffset>
            </wp:positionH>
            <wp:positionV relativeFrom="paragraph">
              <wp:posOffset>1270</wp:posOffset>
            </wp:positionV>
            <wp:extent cx="648335" cy="669925"/>
            <wp:effectExtent l="0" t="0" r="0" b="0"/>
            <wp:wrapTight wrapText="bothSides">
              <wp:wrapPolygon edited="0">
                <wp:start x="-148" y="0"/>
                <wp:lineTo x="-148" y="20744"/>
                <wp:lineTo x="20930" y="20744"/>
                <wp:lineTo x="20930" y="0"/>
                <wp:lineTo x="-148" y="0"/>
              </wp:wrapPolygon>
            </wp:wrapTight>
            <wp:docPr id="31" name="Obraz 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az 294" descr=""/>
                    <pic:cNvPicPr>
                      <a:picLocks noChangeAspect="1" noChangeArrowheads="1"/>
                    </pic:cNvPicPr>
                  </pic:nvPicPr>
                  <pic:blipFill>
                    <a:blip r:embed="rId33"/>
                    <a:stretch>
                      <a:fillRect/>
                    </a:stretch>
                  </pic:blipFill>
                  <pic:spPr bwMode="auto">
                    <a:xfrm>
                      <a:off x="0" y="0"/>
                      <a:ext cx="648335" cy="669925"/>
                    </a:xfrm>
                    <a:prstGeom prst="rect">
                      <a:avLst/>
                    </a:prstGeom>
                  </pic:spPr>
                </pic:pic>
              </a:graphicData>
            </a:graphic>
          </wp:anchor>
        </w:drawing>
      </w:r>
      <w:r>
        <w:rPr/>
        <w:t>P</w:t>
      </w:r>
      <w:r>
        <w:rPr/>
        <w:t>oužitý výrobek podléhá odstranění jako odpad pouze sběr tříděného odpadu pořádané sítí sběrných míst komunálního odpadu z elektrických a elektronických. Spotřebitel má právo vrátit použité zařízení v síti elektrického rozvaděče zařízení přinejmenším bezplatně a okamžitě, pokud zařízení, které mají být vráceny, je ekvivalentního typu a plní stejnou funkci jako nově zakoupené přístroje. Je zakázáno vyhození odpadních elektrických zařízení spolu s jiným odpadem vzniklým v domácnosti.</w:t>
      </w:r>
    </w:p>
    <w:p>
      <w:pPr>
        <w:pStyle w:val="ListParagraph"/>
        <w:numPr>
          <w:ilvl w:val="0"/>
          <w:numId w:val="5"/>
        </w:numPr>
        <w:ind w:left="284" w:hanging="360"/>
        <w:rPr/>
      </w:pPr>
      <w:bookmarkStart w:id="0" w:name="_GoBack"/>
      <w:bookmarkEnd w:id="0"/>
      <w:r>
        <w:rPr/>
        <w:t>Prohlášení o shodě / EC (modul A):</w:t>
      </w:r>
      <w:r>
        <w:rPr>
          <w:sz w:val="18"/>
          <w:szCs w:val="18"/>
        </w:rPr>
        <w:br/>
        <w:t>1. oběhových čerpadel BETA 2: Beta 2 25 - 40/180, Beta 2 25 - 60/180, 25-60 BETA 2/130, BETA 2 25-80 / 180, 32-80 BETA 2/1802. PHU Dambat, Gawartowa Wola 38, 05-085 Kampinos, POLAND e-mail:</w:t>
      </w:r>
      <w:hyperlink r:id="rId34">
        <w:r>
          <w:rPr>
            <w:rStyle w:val="Czeinternetowe"/>
            <w:sz w:val="18"/>
            <w:szCs w:val="18"/>
          </w:rPr>
          <w:t>biuro@dambat.pl</w:t>
        </w:r>
      </w:hyperlink>
      <w:r>
        <w:rPr>
          <w:sz w:val="18"/>
          <w:szCs w:val="18"/>
        </w:rPr>
        <w:br/>
        <w:t>3. Toto prohlášení o shodě se vydává na výhradní odpovědnost producenta.4. BETA oběhové čerpadlo 2 série uvedenými v oddíle 1.5. Na základě zákona ze dne 30. srpna 2002. Systém podmíněnosti (Sbírka zákonů z roku 2004 č 204, položka. 2087) prohlásit s plnou odpovědností, že OHI čerpadla, ke kterému se toto prohlášení vztahuje, jsou v souladu s následujícími směrnicemi a jsou zahrnuty odkazy na harmonizované normy:</w:t>
        <w:br/>
      </w:r>
      <w:r>
        <w:rPr>
          <w:rFonts w:eastAsia="Symbol" w:cs="Symbol" w:ascii="Symbol" w:hAnsi="Symbol"/>
          <w:sz w:val="18"/>
          <w:szCs w:val="18"/>
        </w:rPr>
        <w:t></w:t>
      </w:r>
      <w:r>
        <w:rPr>
          <w:sz w:val="18"/>
          <w:szCs w:val="18"/>
        </w:rPr>
        <w:t>LVD No. 2014/35 / EU</w:t>
        <w:br/>
      </w:r>
      <w:r>
        <w:rPr>
          <w:rFonts w:eastAsia="Symbol" w:cs="Symbol" w:ascii="Symbol" w:hAnsi="Symbol"/>
          <w:sz w:val="18"/>
          <w:szCs w:val="18"/>
        </w:rPr>
        <w:t></w:t>
      </w:r>
      <w:r>
        <w:rPr>
          <w:sz w:val="18"/>
          <w:szCs w:val="18"/>
        </w:rPr>
        <w:t>Směrnice EMC ne. 2014/30 / EU</w:t>
        <w:br/>
      </w:r>
      <w:r>
        <w:rPr>
          <w:rFonts w:eastAsia="Symbol" w:cs="Symbol" w:ascii="Symbol" w:hAnsi="Symbol"/>
          <w:sz w:val="18"/>
          <w:szCs w:val="18"/>
        </w:rPr>
        <w:t></w:t>
      </w:r>
      <w:r>
        <w:rPr>
          <w:sz w:val="18"/>
          <w:szCs w:val="18"/>
        </w:rPr>
        <w:t>Směrnice č MD. 2006/42 / EC</w:t>
        <w:br/>
      </w:r>
      <w:r>
        <w:rPr>
          <w:rFonts w:eastAsia="Symbol" w:cs="Symbol" w:ascii="Symbol" w:hAnsi="Symbol"/>
          <w:sz w:val="18"/>
          <w:szCs w:val="18"/>
        </w:rPr>
        <w:t></w:t>
      </w:r>
      <w:r>
        <w:rPr>
          <w:sz w:val="18"/>
          <w:szCs w:val="18"/>
        </w:rPr>
        <w:t>Směrnice ErP ne. 2009/125 / EC.</w:t>
        <w:br/>
      </w:r>
      <w:r>
        <w:rPr>
          <w:sz w:val="18"/>
          <w:szCs w:val="18"/>
          <w:lang w:val="en-US"/>
        </w:rPr>
        <w:t xml:space="preserve">6. Normy: EN ISO 12100: 2010, EN 809: 1998 + A1: 2009 + AC: 2010, EN 60204-l: 2006 + Al: 2009 + AC: 2010, EN 60335-l: 2012 + AC: 2014 EN 62233: 2008 + AC: 2008 a ČSN EN 60335-2-41: 2003 + Al: 2004 + A2: 2010 a ČSN EN 60335-2-51: 2003 + Al: 2003 + A1: 2008 + A2: 2012 EN 60034-l : 2010 + AC: 2010, ČSN EN 55014-1: 2006 + A1: 2009 + A2: 2011 EN 55014-2: 1997 + A1: 2001 + A2: 2008, ČSN EN 61000-3-2: 2014 EN 61000-3 -3: 2013, ČSN EN 16297-1: 2012, EN 16297-2: 2012. </w:t>
      </w:r>
    </w:p>
    <w:p>
      <w:pPr>
        <w:pStyle w:val="Normal"/>
        <w:ind w:left="284" w:hanging="0"/>
        <w:jc w:val="right"/>
        <w:rPr>
          <w:sz w:val="18"/>
          <w:szCs w:val="18"/>
        </w:rPr>
      </w:pPr>
      <w:r>
        <w:drawing>
          <wp:anchor behindDoc="1" distT="0" distB="0" distL="0" distR="0" simplePos="0" locked="0" layoutInCell="1" allowOverlap="1" relativeHeight="16">
            <wp:simplePos x="0" y="0"/>
            <wp:positionH relativeFrom="column">
              <wp:posOffset>4064635</wp:posOffset>
            </wp:positionH>
            <wp:positionV relativeFrom="paragraph">
              <wp:posOffset>398780</wp:posOffset>
            </wp:positionV>
            <wp:extent cx="2190115" cy="574675"/>
            <wp:effectExtent l="0" t="0" r="0" b="0"/>
            <wp:wrapNone/>
            <wp:docPr id="32" name="Obraz 288" descr="pod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az 288" descr="podpis.jpg"/>
                    <pic:cNvPicPr>
                      <a:picLocks noChangeAspect="1" noChangeArrowheads="1"/>
                    </pic:cNvPicPr>
                  </pic:nvPicPr>
                  <pic:blipFill>
                    <a:blip r:embed="rId35"/>
                    <a:stretch>
                      <a:fillRect/>
                    </a:stretch>
                  </pic:blipFill>
                  <pic:spPr bwMode="auto">
                    <a:xfrm>
                      <a:off x="0" y="0"/>
                      <a:ext cx="2190115" cy="574675"/>
                    </a:xfrm>
                    <a:prstGeom prst="rect">
                      <a:avLst/>
                    </a:prstGeom>
                  </pic:spPr>
                </pic:pic>
              </a:graphicData>
            </a:graphic>
          </wp:anchor>
        </w:drawing>
      </w:r>
      <w:r>
        <w:rPr>
          <w:sz w:val="18"/>
          <w:szCs w:val="18"/>
          <w:lang w:val="en-US"/>
        </w:rPr>
        <w:br/>
      </w:r>
      <w:r>
        <w:rPr>
          <w:sz w:val="18"/>
          <w:szCs w:val="18"/>
        </w:rPr>
        <w:t>Gawartowa Wola 23.11.2016 Adam Jastrzebski</w:t>
      </w:r>
    </w:p>
    <w:p>
      <w:pPr>
        <w:pStyle w:val="Normal"/>
        <w:rPr>
          <w:lang w:val="en-US"/>
        </w:rPr>
      </w:pPr>
      <w:r>
        <w:rPr>
          <w:lang w:val="en-US"/>
        </w:rPr>
      </w:r>
    </w:p>
    <w:p>
      <w:pPr>
        <w:pStyle w:val="Normal"/>
        <w:rPr>
          <w:lang w:val="en-US"/>
        </w:rPr>
      </w:pPr>
      <w:r>
        <w:rPr>
          <w:lang w:val="en-US"/>
        </w:rPr>
        <w:drawing>
          <wp:anchor behindDoc="1" distT="0" distB="0" distL="0" distR="0" simplePos="0" locked="0" layoutInCell="1" allowOverlap="1" relativeHeight="17">
            <wp:simplePos x="0" y="0"/>
            <wp:positionH relativeFrom="column">
              <wp:posOffset>4427855</wp:posOffset>
            </wp:positionH>
            <wp:positionV relativeFrom="paragraph">
              <wp:posOffset>170180</wp:posOffset>
            </wp:positionV>
            <wp:extent cx="1670685" cy="322580"/>
            <wp:effectExtent l="0" t="0" r="0" b="0"/>
            <wp:wrapNone/>
            <wp:docPr id="33" name="Obraz2" descr="pieczątk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braz2" descr="pieczątka 2.jpg"/>
                    <pic:cNvPicPr>
                      <a:picLocks noChangeAspect="1" noChangeArrowheads="1"/>
                    </pic:cNvPicPr>
                  </pic:nvPicPr>
                  <pic:blipFill>
                    <a:blip r:embed="rId36"/>
                    <a:stretch>
                      <a:fillRect/>
                    </a:stretch>
                  </pic:blipFill>
                  <pic:spPr bwMode="auto">
                    <a:xfrm>
                      <a:off x="0" y="0"/>
                      <a:ext cx="1670685" cy="322580"/>
                    </a:xfrm>
                    <a:prstGeom prst="rect">
                      <a:avLst/>
                    </a:prstGeom>
                  </pic:spPr>
                </pic:pic>
              </a:graphicData>
            </a:graphic>
          </wp:anchor>
        </w:drawing>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spacing w:lineRule="auto" w:line="240" w:before="0" w:after="0"/>
        <w:jc w:val="center"/>
        <w:rPr>
          <w:rFonts w:ascii="Arial" w:hAnsi="Arial" w:eastAsia="Times New Roman" w:cs="Arial"/>
          <w:b/>
          <w:b/>
          <w:bCs/>
          <w:sz w:val="24"/>
          <w:szCs w:val="20"/>
          <w:lang w:eastAsia="pl-PL"/>
        </w:rPr>
      </w:pPr>
      <w:r>
        <w:rPr>
          <w:rFonts w:eastAsia="Times New Roman" w:cs="Arial" w:ascii="Arial" w:hAnsi="Arial"/>
          <w:b/>
          <w:bCs/>
          <w:sz w:val="24"/>
          <w:szCs w:val="20"/>
          <w:lang w:eastAsia="pl-PL"/>
        </w:rPr>
        <w:t>ZÁRUKA:</w:t>
      </w:r>
    </w:p>
    <w:p>
      <w:pPr>
        <w:pStyle w:val="Normal"/>
        <w:spacing w:lineRule="auto" w:line="240" w:before="0" w:after="0"/>
        <w:jc w:val="center"/>
        <w:rPr>
          <w:rFonts w:ascii="Arial" w:hAnsi="Arial" w:eastAsia="Times New Roman" w:cs="Arial"/>
          <w:sz w:val="18"/>
          <w:szCs w:val="20"/>
          <w:lang w:eastAsia="pl-PL"/>
        </w:rPr>
      </w:pPr>
      <w:r>
        <w:rPr>
          <w:rFonts w:eastAsia="Times New Roman" w:cs="Arial" w:ascii="Arial" w:hAnsi="Arial"/>
          <w:sz w:val="18"/>
          <w:szCs w:val="20"/>
          <w:lang w:eastAsia="pl-PL"/>
        </w:rPr>
        <w:t>Tato záruka je platná pouze s originálním dokladu o koupi, tj. Na faktuře nebo potvrzení. Kromě toho musí být potvrzeno podpisem a razítkem prodávajícího. Bez záručního listu doprovází původní kupní doklad je neplatný.</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PHU je garantem DAMBAT zařízení, servis adresa 05-870 Blonie, Týden bez závazků 21 B</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 xml:space="preserve">Pro zákazníky s originálním dokladem o koupi v podobě daňového příjmu, faktury nebo původní záruční doby je 24 měsíců. </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Záruka se nezapne, omezení nebo pozastavení práva kupujícího vyplývající z ustanovení záruky za vady prodávaného zboží.</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 xml:space="preserve">Záruka se vztahuje na vady bez odstranění zařízení způsobené chybou ve výrobě. </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Podmínkou záruky je dodržovat doporučení uvedená v této příručce.</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Záruka se nevztahuje na:</w:t>
      </w:r>
    </w:p>
    <w:p>
      <w:pPr>
        <w:pStyle w:val="Normal"/>
        <w:numPr>
          <w:ilvl w:val="0"/>
          <w:numId w:val="7"/>
        </w:numPr>
        <w:spacing w:lineRule="auto" w:line="240" w:before="0" w:after="0"/>
        <w:ind w:left="435" w:hanging="293"/>
        <w:jc w:val="both"/>
        <w:rPr>
          <w:rFonts w:eastAsia="Times New Roman" w:cs="Arial"/>
          <w:lang w:eastAsia="pl-PL"/>
        </w:rPr>
      </w:pPr>
      <w:r>
        <w:rPr>
          <w:rFonts w:eastAsia="Times New Roman" w:cs="Arial"/>
          <w:lang w:eastAsia="pl-PL"/>
        </w:rPr>
        <w:t>Škody vyplývající z nesprávné manipulace či provozu v rozporu s účelem a návodu k obsluze</w:t>
      </w:r>
    </w:p>
    <w:p>
      <w:pPr>
        <w:pStyle w:val="Normal"/>
        <w:numPr>
          <w:ilvl w:val="0"/>
          <w:numId w:val="7"/>
        </w:numPr>
        <w:spacing w:lineRule="auto" w:line="240" w:before="0" w:after="0"/>
        <w:ind w:left="435" w:hanging="293"/>
        <w:jc w:val="both"/>
        <w:rPr>
          <w:rFonts w:eastAsia="Times New Roman" w:cs="Arial"/>
          <w:lang w:eastAsia="pl-PL"/>
        </w:rPr>
      </w:pPr>
      <w:r>
        <w:rPr>
          <w:rFonts w:eastAsia="Times New Roman" w:cs="Arial"/>
          <w:lang w:eastAsia="pl-PL"/>
        </w:rPr>
        <w:t xml:space="preserve">Poškození vlivem vnějších sil, jejíž příčina leží mimo zařízení, přičemž záruka se vztahuje (např. Poškození mrazem, transport, požár, povodeň, atd.) </w:t>
      </w:r>
    </w:p>
    <w:p>
      <w:pPr>
        <w:pStyle w:val="Normal"/>
        <w:numPr>
          <w:ilvl w:val="0"/>
          <w:numId w:val="7"/>
        </w:numPr>
        <w:spacing w:lineRule="auto" w:line="240" w:before="0" w:after="0"/>
        <w:ind w:left="435" w:hanging="293"/>
        <w:jc w:val="both"/>
        <w:rPr>
          <w:rFonts w:eastAsia="Times New Roman" w:cs="Arial"/>
          <w:lang w:eastAsia="pl-PL"/>
        </w:rPr>
      </w:pPr>
      <w:r>
        <w:rPr>
          <w:rFonts w:eastAsia="Times New Roman" w:cs="Arial"/>
          <w:lang w:eastAsia="pl-PL"/>
        </w:rPr>
        <w:t>Škody způsobené rušením při konstrukci přístroje neoprávněnými osobami garanta</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Záruka je neplatná, pokud:</w:t>
      </w:r>
    </w:p>
    <w:p>
      <w:pPr>
        <w:pStyle w:val="Normal"/>
        <w:numPr>
          <w:ilvl w:val="0"/>
          <w:numId w:val="8"/>
        </w:numPr>
        <w:spacing w:lineRule="auto" w:line="240" w:before="0" w:after="0"/>
        <w:jc w:val="both"/>
        <w:rPr>
          <w:rFonts w:eastAsia="Times New Roman" w:cs="Arial"/>
          <w:lang w:eastAsia="pl-PL"/>
        </w:rPr>
      </w:pPr>
      <w:r>
        <w:rPr>
          <w:rFonts w:eastAsia="Times New Roman" w:cs="Arial"/>
          <w:lang w:eastAsia="pl-PL"/>
        </w:rPr>
        <w:t>Prohlášení autorizovaného servisu stavební úpravy provedené osobou neautorizovanou ručitelem</w:t>
      </w:r>
    </w:p>
    <w:p>
      <w:pPr>
        <w:pStyle w:val="Normal"/>
        <w:numPr>
          <w:ilvl w:val="0"/>
          <w:numId w:val="8"/>
        </w:numPr>
        <w:spacing w:lineRule="auto" w:line="240" w:before="0" w:after="0"/>
        <w:jc w:val="both"/>
        <w:rPr>
          <w:rFonts w:eastAsia="Times New Roman" w:cs="Arial"/>
          <w:lang w:eastAsia="pl-PL"/>
        </w:rPr>
      </w:pPr>
      <w:r>
        <w:rPr>
          <w:rFonts w:eastAsia="Times New Roman" w:cs="Arial"/>
          <w:lang w:eastAsia="pl-PL"/>
        </w:rPr>
        <w:t>Prohlášení autorizovaný servis rozebírat zařízení osobou oprávněnou garantem mimo povolený provozní příručky</w:t>
      </w:r>
    </w:p>
    <w:p>
      <w:pPr>
        <w:pStyle w:val="Normal"/>
        <w:numPr>
          <w:ilvl w:val="0"/>
          <w:numId w:val="8"/>
        </w:numPr>
        <w:spacing w:lineRule="auto" w:line="240" w:before="0" w:after="0"/>
        <w:jc w:val="both"/>
        <w:rPr>
          <w:rFonts w:eastAsia="Times New Roman" w:cs="Arial"/>
          <w:lang w:eastAsia="pl-PL"/>
        </w:rPr>
      </w:pPr>
      <w:r>
        <w:rPr>
          <w:rFonts w:eastAsia="Times New Roman" w:cs="Arial"/>
          <w:lang w:eastAsia="pl-PL"/>
        </w:rPr>
        <w:t>Závěrky Autorizovaný servis žádnou změnu v záruce ze strany osob, které nejsou povoleny ručitelem</w:t>
      </w:r>
    </w:p>
    <w:p>
      <w:pPr>
        <w:pStyle w:val="Normal"/>
        <w:numPr>
          <w:ilvl w:val="0"/>
          <w:numId w:val="8"/>
        </w:numPr>
        <w:spacing w:lineRule="auto" w:line="240" w:before="0" w:after="0"/>
        <w:jc w:val="both"/>
        <w:rPr>
          <w:rFonts w:eastAsia="Times New Roman" w:cs="Arial"/>
          <w:lang w:eastAsia="pl-PL"/>
        </w:rPr>
      </w:pPr>
      <w:r>
        <w:rPr>
          <w:rFonts w:eastAsia="Times New Roman" w:cs="Arial"/>
          <w:lang w:eastAsia="pl-PL"/>
        </w:rPr>
        <w:t>Prohlášení autorizovaný servis jakéhokoli nesouladu mezi zápisy v záručním listě a dokladu o koupi.</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Záruka se vztahuje pouze na zařízení pracují v Polské republice.</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Při přepravě jednotky k opravě uživatelem:</w:t>
      </w:r>
    </w:p>
    <w:p>
      <w:pPr>
        <w:pStyle w:val="Normal"/>
        <w:numPr>
          <w:ilvl w:val="0"/>
          <w:numId w:val="9"/>
        </w:numPr>
        <w:spacing w:lineRule="auto" w:line="240" w:before="0" w:after="0"/>
        <w:jc w:val="both"/>
        <w:rPr>
          <w:rFonts w:eastAsia="Times New Roman" w:cs="Arial"/>
          <w:lang w:eastAsia="pl-PL"/>
        </w:rPr>
      </w:pPr>
      <w:r>
        <w:rPr>
          <w:rFonts w:eastAsia="Times New Roman" w:cs="Arial"/>
          <w:lang w:eastAsia="pl-PL"/>
        </w:rPr>
        <w:t>Dodávky vybavení, mimo jiné o hmotnosti vyšší než 20 kg ručitele pokrývá náklady na dopravu do místa. Před odesláním, kontaktujte garanta za účelem získání informací, které kurýrní společnost poslat zařízení (tel.22-6328609).</w:t>
      </w:r>
    </w:p>
    <w:p>
      <w:pPr>
        <w:pStyle w:val="Normal"/>
        <w:spacing w:lineRule="auto" w:line="240" w:before="0" w:after="0"/>
        <w:ind w:left="360" w:hanging="0"/>
        <w:jc w:val="both"/>
        <w:rPr>
          <w:rFonts w:eastAsia="Times New Roman" w:cs="Arial"/>
          <w:lang w:eastAsia="pl-PL"/>
        </w:rPr>
      </w:pPr>
      <w:r>
        <w:rPr>
          <w:rFonts w:eastAsia="Times New Roman" w:cs="Arial"/>
          <w:lang w:eastAsia="pl-PL"/>
        </w:rPr>
        <w:t>Garant přijímá pouze zásilky zasílané ve standardu služeb. Poslal na úkor garanta pomocí nestandardní služby nebudou přijaty. Ručitel neobdrží k přepravě pobraniowych.</w:t>
      </w:r>
    </w:p>
    <w:p>
      <w:pPr>
        <w:pStyle w:val="Normal"/>
        <w:numPr>
          <w:ilvl w:val="0"/>
          <w:numId w:val="9"/>
        </w:numPr>
        <w:spacing w:lineRule="auto" w:line="240" w:before="0" w:after="0"/>
        <w:jc w:val="both"/>
        <w:rPr>
          <w:rFonts w:eastAsia="Times New Roman" w:cs="Arial"/>
          <w:lang w:eastAsia="pl-PL"/>
        </w:rPr>
      </w:pPr>
      <w:r>
        <w:rPr>
          <w:rFonts w:eastAsia="Times New Roman" w:cs="Arial"/>
          <w:lang w:eastAsia="pl-PL"/>
        </w:rPr>
        <w:t>byste se měli připravit (bezpečné) zařízení pro přepravu tak, aby nedošlo k poškození. Škody způsobené vinou klienta není v záruce.</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Kromě podmínek záruky, kupující nemá nárok na jakoukoliv náhradu.</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V případě zaslání službu efektivní zařízení nejsou předmětem záruky, můžete být požádáni o přihlášení do zařízení o náhradě, a úhrada nákladů na vrácení výrobku na uživatele služeb.</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 xml:space="preserve">Pokud nechcete uznat, garanta za škodu způsobenou výrobcem, můžete být požádáni o vrácení nákladů na dopravu do místa a náhradě nákladů na vrácení výrobku k uživateli. </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Máte-li e-mailovou adresu, zadejte ho prosím níže</w:t>
      </w:r>
    </w:p>
    <w:p>
      <w:pPr>
        <w:pStyle w:val="Normal"/>
        <w:spacing w:lineRule="auto" w:line="240" w:before="0" w:after="0"/>
        <w:jc w:val="both"/>
        <w:rPr>
          <w:rFonts w:eastAsia="Times New Roman" w:cs="Arial"/>
          <w:lang w:eastAsia="pl-PL"/>
        </w:rPr>
      </w:pPr>
      <w:r>
        <w:rPr>
          <w:rFonts w:eastAsia="Times New Roman" w:cs="Arial"/>
          <w:lang w:eastAsia="pl-PL"/>
        </w:rPr>
      </w:r>
    </w:p>
    <w:p>
      <w:pPr>
        <w:pStyle w:val="Normal"/>
        <w:spacing w:lineRule="auto" w:line="240" w:before="0" w:after="0"/>
        <w:ind w:left="345" w:hanging="0"/>
        <w:jc w:val="both"/>
        <w:rPr>
          <w:rFonts w:eastAsia="Times New Roman" w:cs="Arial"/>
          <w:lang w:eastAsia="pl-PL"/>
        </w:rPr>
      </w:pPr>
      <w:r>
        <w:rPr>
          <w:rFonts w:eastAsia="Times New Roman" w:cs="Arial"/>
          <w:lang w:eastAsia="pl-PL"/>
        </w:rPr>
        <w:t>E-mail: ............................................ .................................. Specifikace uživateli usnadnit komunikační službu a může urychlit opravu</w:t>
      </w:r>
    </w:p>
    <w:p>
      <w:pPr>
        <w:pStyle w:val="Normal"/>
        <w:numPr>
          <w:ilvl w:val="0"/>
          <w:numId w:val="6"/>
        </w:numPr>
        <w:spacing w:lineRule="auto" w:line="240" w:before="0" w:after="0"/>
        <w:jc w:val="both"/>
        <w:rPr>
          <w:rFonts w:eastAsia="Times New Roman" w:cs="Arial"/>
          <w:lang w:eastAsia="pl-PL"/>
        </w:rPr>
      </w:pPr>
      <w:r>
        <w:rPr>
          <w:rFonts w:eastAsia="Times New Roman" w:cs="Arial"/>
          <w:lang w:eastAsia="pl-PL"/>
        </w:rPr>
        <w:t>Obraťte se na servisní celostátní telefon / fax 22-6328609, e-mail: serwis@dambat.pl doba: pondělí až pátek 8.00-16.00</w:t>
      </w:r>
    </w:p>
    <w:p>
      <w:pPr>
        <w:pStyle w:val="Normal"/>
        <w:spacing w:lineRule="auto" w:line="240" w:before="0" w:after="0"/>
        <w:jc w:val="both"/>
        <w:rPr>
          <w:rFonts w:eastAsia="Times New Roman" w:cs="Arial"/>
          <w:lang w:eastAsia="pl-PL"/>
        </w:rPr>
      </w:pPr>
      <w:r>
        <w:rPr>
          <w:rFonts w:eastAsia="Times New Roman" w:cs="Arial"/>
          <w:lang w:eastAsia="pl-PL"/>
        </w:rPr>
      </w:r>
    </w:p>
    <w:p>
      <w:pPr>
        <w:pStyle w:val="Normal"/>
        <w:spacing w:lineRule="auto" w:line="240" w:before="0" w:after="0"/>
        <w:jc w:val="both"/>
        <w:rPr>
          <w:rFonts w:eastAsia="Times New Roman" w:cs="Arial"/>
          <w:lang w:eastAsia="pl-PL"/>
        </w:rPr>
      </w:pPr>
      <w:r>
        <w:rPr>
          <w:rFonts w:eastAsia="Times New Roman" w:cs="Arial"/>
          <w:lang w:eastAsia="pl-PL"/>
        </w:rPr>
        <w:t>ZAŘÍZENÍ TYP: ...........................</w:t>
        <w:tab/>
        <w:t>NR.PRODUKCYJNY: ...................................</w:t>
      </w:r>
    </w:p>
    <w:p>
      <w:pPr>
        <w:pStyle w:val="Normal"/>
        <w:spacing w:lineRule="auto" w:line="240" w:before="0" w:after="0"/>
        <w:jc w:val="both"/>
        <w:rPr>
          <w:rFonts w:eastAsia="Times New Roman" w:cs="Arial"/>
          <w:lang w:eastAsia="pl-PL"/>
        </w:rPr>
      </w:pPr>
      <w:r>
        <w:rPr>
          <w:rFonts w:eastAsia="Times New Roman" w:cs="Arial"/>
          <w:lang w:eastAsia="pl-PL"/>
        </w:rPr>
        <w:t>Datum zahájení prodeje (měsíc slovy) ..................................</w:t>
      </w:r>
    </w:p>
    <w:p>
      <w:pPr>
        <w:pStyle w:val="Tretekstu"/>
        <w:ind w:left="3012" w:hanging="0"/>
        <w:rPr>
          <w:rFonts w:ascii="Times New Roman" w:hAnsi="Times New Roman"/>
          <w:sz w:val="20"/>
          <w:lang w:val="pl-PL"/>
        </w:rPr>
      </w:pPr>
      <w:r>
        <w:rPr>
          <w:rFonts w:ascii="Times New Roman" w:hAnsi="Times New Roman"/>
          <w:sz w:val="20"/>
          <w:lang w:val="pl-PL"/>
        </w:rPr>
      </w:r>
    </w:p>
    <w:p>
      <w:pPr>
        <w:pStyle w:val="Tretekstu"/>
        <w:rPr>
          <w:rFonts w:ascii="Times New Roman" w:hAnsi="Times New Roman"/>
          <w:sz w:val="20"/>
          <w:lang w:val="pl-PL"/>
        </w:rPr>
      </w:pPr>
      <w:r>
        <w:rPr>
          <w:rFonts w:ascii="Times New Roman" w:hAnsi="Times New Roman"/>
          <w:sz w:val="20"/>
          <w:lang w:val="pl-PL"/>
        </w:rPr>
      </w:r>
    </w:p>
    <w:p>
      <w:pPr>
        <w:pStyle w:val="Tretekstu"/>
        <w:ind w:left="3012" w:hanging="0"/>
        <w:rPr/>
      </w:pPr>
      <w:r>
        <w:rPr/>
      </w:r>
    </w:p>
    <w:sectPr>
      <w:type w:val="nextPage"/>
      <w:pgSz w:w="11906" w:h="16838"/>
      <w:pgMar w:left="1300" w:right="1180" w:header="720" w:top="760" w:footer="720" w:bottom="28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ahoma">
    <w:charset w:val="ee"/>
    <w:family w:val="roman"/>
    <w:pitch w:val="variable"/>
  </w:font>
  <w:font w:name="Cambria">
    <w:charset w:val="ee"/>
    <w:family w:val="roman"/>
    <w:pitch w:val="variable"/>
  </w:font>
  <w:font w:name="Liberation Sans">
    <w:altName w:val="Arial"/>
    <w:charset w:val="ee"/>
    <w:family w:val="swiss"/>
    <w:pitch w:val="variable"/>
  </w:font>
  <w:font w:name="Times New Roman">
    <w:charset w:val="ee"/>
    <w:family w:val="roman"/>
    <w:pitch w:val="variable"/>
  </w:font>
  <w:font w:name="Arial">
    <w:charset w:val="ee"/>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numPicBullet w:numPicBulletId="0">
    <w:pict>
      <v:shape style="width:25.85pt;height:9.8pt" o:bullet="t">
        <v:imagedata r:id="rId1" o:title=""/>
      </v:shape>
    </w:pict>
  </w:numPicBullet>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2346"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5">
    <w:lvl w:ilvl="0">
      <w:start w:val="3"/>
      <w:numFmt w:val="decimal"/>
      <w:lvlText w:val="%1."/>
      <w:lvlJc w:val="left"/>
      <w:pPr>
        <w:ind w:left="1211"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decimal"/>
      <w:lvlText w:val="%1."/>
      <w:lvlJc w:val="left"/>
      <w:pPr>
        <w:tabs>
          <w:tab w:val="num" w:pos="360"/>
        </w:tabs>
        <w:ind w:left="360" w:hanging="360"/>
      </w:pPr>
      <w:rPr>
        <w:i w:val="false"/>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
      <w:lvlJc w:val="left"/>
      <w:pPr>
        <w:tabs>
          <w:tab w:val="num" w:pos="426"/>
        </w:tabs>
        <w:ind w:left="426"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bullet"/>
      <w:lvlText w:val=""/>
      <w:lvlJc w:val="left"/>
      <w:pPr>
        <w:ind w:left="1211"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bullet"/>
      <w:lvlText w:val="•"/>
      <w:lvlPicBulletId w:val="0"/>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
      <w:lvlJc w:val="left"/>
      <w:pPr>
        <w:tabs>
          <w:tab w:val="num" w:pos="3600"/>
        </w:tabs>
        <w:ind w:left="3600" w:hanging="360"/>
      </w:pPr>
      <w:rPr>
        <w:rFonts w:ascii="Symbol" w:hAnsi="Symbol" w:cs="Symbol" w:hint="default"/>
      </w:rPr>
    </w:lvl>
    <w:lvl w:ilvl="5">
      <w:start w:val="1"/>
      <w:numFmt w:val="bullet"/>
      <w:lvlText w:val=""/>
      <w:lvlJc w:val="left"/>
      <w:pPr>
        <w:tabs>
          <w:tab w:val="num" w:pos="4320"/>
        </w:tabs>
        <w:ind w:left="4320" w:hanging="360"/>
      </w:pPr>
      <w:rPr>
        <w:rFonts w:ascii="Symbol" w:hAnsi="Symbol" w:cs="Symbol"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
      <w:lvlJc w:val="left"/>
      <w:pPr>
        <w:tabs>
          <w:tab w:val="num" w:pos="5760"/>
        </w:tabs>
        <w:ind w:left="5760" w:hanging="360"/>
      </w:pPr>
      <w:rPr>
        <w:rFonts w:ascii="Symbol" w:hAnsi="Symbol" w:cs="Symbol" w:hint="default"/>
      </w:rPr>
    </w:lvl>
    <w:lvl w:ilvl="8">
      <w:start w:val="1"/>
      <w:numFmt w:val="bullet"/>
      <w:lvlText w:val=""/>
      <w:lvlJc w:val="left"/>
      <w:pPr>
        <w:tabs>
          <w:tab w:val="num" w:pos="6480"/>
        </w:tabs>
        <w:ind w:left="6480" w:hanging="360"/>
      </w:pPr>
      <w:rPr>
        <w:rFonts w:ascii="Symbol" w:hAnsi="Symbol" w:cs="Symbol" w:hint="default"/>
      </w:rPr>
    </w:lvl>
  </w:abstractNum>
  <w:abstractNum w:abstractNumId="1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08"/>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0243a"/>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TekstdymkaZnak" w:customStyle="1">
    <w:name w:val="Tekst dymka Znak"/>
    <w:basedOn w:val="DefaultParagraphFont"/>
    <w:link w:val="Tekstdymka"/>
    <w:uiPriority w:val="99"/>
    <w:semiHidden/>
    <w:qFormat/>
    <w:rsid w:val="001f3177"/>
    <w:rPr>
      <w:rFonts w:ascii="Tahoma" w:hAnsi="Tahoma" w:cs="Tahoma"/>
      <w:sz w:val="16"/>
      <w:szCs w:val="16"/>
    </w:rPr>
  </w:style>
  <w:style w:type="character" w:styleId="TekstprzypisukocowegoZnak" w:customStyle="1">
    <w:name w:val="Tekst przypisu końcowego Znak"/>
    <w:basedOn w:val="DefaultParagraphFont"/>
    <w:link w:val="Tekstprzypisukocowego"/>
    <w:uiPriority w:val="99"/>
    <w:semiHidden/>
    <w:qFormat/>
    <w:rsid w:val="007d27d4"/>
    <w:rPr>
      <w:sz w:val="20"/>
      <w:szCs w:val="20"/>
    </w:rPr>
  </w:style>
  <w:style w:type="character" w:styleId="Zakotwiczenieprzypisukocowego">
    <w:name w:val="Zakotwiczenie przypisu końcowego"/>
    <w:rPr>
      <w:vertAlign w:val="superscript"/>
    </w:rPr>
  </w:style>
  <w:style w:type="character" w:styleId="EndnoteCharacters">
    <w:name w:val="Endnote Characters"/>
    <w:basedOn w:val="DefaultParagraphFont"/>
    <w:uiPriority w:val="99"/>
    <w:semiHidden/>
    <w:unhideWhenUsed/>
    <w:qFormat/>
    <w:rsid w:val="007d27d4"/>
    <w:rPr>
      <w:vertAlign w:val="superscript"/>
    </w:rPr>
  </w:style>
  <w:style w:type="character" w:styleId="TytuZnak" w:customStyle="1">
    <w:name w:val="Tytuł Znak"/>
    <w:basedOn w:val="DefaultParagraphFont"/>
    <w:link w:val="Tytu"/>
    <w:qFormat/>
    <w:rsid w:val="00114f7a"/>
    <w:rPr>
      <w:rFonts w:ascii="Cambria" w:hAnsi="Cambria" w:eastAsia="" w:cs="" w:asciiTheme="majorHAnsi" w:cstheme="majorBidi" w:eastAsiaTheme="majorEastAsia" w:hAnsiTheme="majorHAnsi"/>
      <w:color w:val="17365D" w:themeColor="text2" w:themeShade="bf"/>
      <w:spacing w:val="5"/>
      <w:kern w:val="2"/>
      <w:sz w:val="52"/>
      <w:szCs w:val="52"/>
    </w:rPr>
  </w:style>
  <w:style w:type="character" w:styleId="Czeinternetowe">
    <w:name w:val="Łącze internetowe"/>
    <w:basedOn w:val="DefaultParagraphFont"/>
    <w:uiPriority w:val="99"/>
    <w:unhideWhenUsed/>
    <w:rsid w:val="001d1215"/>
    <w:rPr>
      <w:color w:val="0000FF" w:themeColor="hyperlink"/>
      <w:u w:val="single"/>
    </w:rPr>
  </w:style>
  <w:style w:type="character" w:styleId="TekstpodstawowyZnak" w:customStyle="1">
    <w:name w:val="Tekst podstawowy Znak"/>
    <w:basedOn w:val="DefaultParagraphFont"/>
    <w:link w:val="Tekstpodstawowy"/>
    <w:uiPriority w:val="1"/>
    <w:qFormat/>
    <w:rsid w:val="00292407"/>
    <w:rPr>
      <w:rFonts w:ascii="Calibri" w:hAnsi="Calibri" w:eastAsia="Calibri" w:cs="Calibri"/>
      <w:lang w:val="en-US"/>
    </w:rPr>
  </w:style>
  <w:style w:type="character" w:styleId="ListLabel1">
    <w:name w:val="ListLabel 1"/>
    <w:qFormat/>
    <w:rPr>
      <w:b/>
      <w:i w:val="false"/>
    </w:rPr>
  </w:style>
  <w:style w:type="character" w:styleId="ListLabel2">
    <w:name w:val="ListLabel 2"/>
    <w:qFormat/>
    <w:rPr>
      <w:rFonts w:eastAsia="Calibri" w:cs="Calibri"/>
      <w:w w:val="100"/>
      <w:sz w:val="22"/>
      <w:szCs w:val="22"/>
    </w:rPr>
  </w:style>
  <w:style w:type="character" w:styleId="ListLabel3">
    <w:name w:val="ListLabel 3"/>
    <w:qFormat/>
    <w:rPr>
      <w:rFonts w:eastAsia="Calibri" w:cs="Calibri"/>
      <w:spacing w:val="-1"/>
      <w:w w:val="100"/>
      <w:sz w:val="22"/>
      <w:szCs w:val="22"/>
    </w:rPr>
  </w:style>
  <w:style w:type="character" w:styleId="ListLabel4">
    <w:name w:val="ListLabel 4"/>
    <w:qFormat/>
    <w:rPr>
      <w:rFonts w:eastAsia="Calibri" w:cs="Calibri"/>
      <w:w w:val="99"/>
      <w:sz w:val="12"/>
      <w:szCs w:val="12"/>
    </w:rPr>
  </w:style>
  <w:style w:type="character" w:styleId="ListLabel5">
    <w:name w:val="ListLabel 5"/>
    <w:qFormat/>
    <w:rPr>
      <w:rFonts w:eastAsia="Calibri" w:cs="Calibri"/>
      <w:w w:val="100"/>
      <w:sz w:val="22"/>
      <w:szCs w:val="22"/>
    </w:rPr>
  </w:style>
  <w:style w:type="character" w:styleId="ListLabel6">
    <w:name w:val="ListLabel 6"/>
    <w:qFormat/>
    <w:rPr>
      <w:rFonts w:eastAsia="Calibri" w:cs="Calibri"/>
      <w:w w:val="100"/>
      <w:sz w:val="22"/>
      <w:szCs w:val="22"/>
    </w:rPr>
  </w:style>
  <w:style w:type="character" w:styleId="ListLabel7">
    <w:name w:val="ListLabel 7"/>
    <w:qFormat/>
    <w:rPr>
      <w:rFonts w:eastAsia="Calibri" w:cs="Calibri"/>
      <w:spacing w:val="-1"/>
      <w:w w:val="100"/>
      <w:sz w:val="20"/>
      <w:szCs w:val="20"/>
    </w:rPr>
  </w:style>
  <w:style w:type="character" w:styleId="ListLabel8">
    <w:name w:val="ListLabel 8"/>
    <w:qFormat/>
    <w:rPr>
      <w:rFonts w:eastAsia="Wingdings" w:cs="Wingdings"/>
      <w:w w:val="100"/>
      <w:sz w:val="22"/>
      <w:szCs w:val="22"/>
    </w:rPr>
  </w:style>
  <w:style w:type="character" w:styleId="ListLabel9">
    <w:name w:val="ListLabel 9"/>
    <w:qFormat/>
    <w:rPr>
      <w:rFonts w:eastAsia="Calibri" w:cs="Calibri"/>
      <w:b/>
      <w:w w:val="100"/>
      <w:sz w:val="22"/>
      <w:szCs w:val="22"/>
    </w:rPr>
  </w:style>
  <w:style w:type="character" w:styleId="ListLabel10">
    <w:name w:val="ListLabel 10"/>
    <w:qFormat/>
    <w:rPr>
      <w:rFonts w:eastAsia="Calibri" w:cs="Calibri"/>
      <w:spacing w:val="-1"/>
      <w:w w:val="100"/>
      <w:sz w:val="22"/>
      <w:szCs w:val="22"/>
    </w:rPr>
  </w:style>
  <w:style w:type="character" w:styleId="ListLabel11">
    <w:name w:val="ListLabel 11"/>
    <w:qFormat/>
    <w:rPr>
      <w:rFonts w:eastAsia="Calibri" w:cs="Calibri"/>
      <w:w w:val="100"/>
      <w:sz w:val="22"/>
      <w:szCs w:val="22"/>
    </w:rPr>
  </w:style>
  <w:style w:type="character" w:styleId="ListLabel12">
    <w:name w:val="ListLabel 12"/>
    <w:qFormat/>
    <w:rPr>
      <w:rFonts w:eastAsia="Calibri" w:cs="Calibri"/>
      <w:w w:val="100"/>
      <w:sz w:val="22"/>
      <w:szCs w:val="22"/>
    </w:rPr>
  </w:style>
  <w:style w:type="character" w:styleId="ListLabel13">
    <w:name w:val="ListLabel 13"/>
    <w:qFormat/>
    <w:rPr>
      <w:b/>
      <w:sz w:val="20"/>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sz w:val="18"/>
      <w:szCs w:val="18"/>
    </w:rPr>
  </w:style>
  <w:style w:type="character" w:styleId="ListLabel18">
    <w:name w:val="ListLabel 18"/>
    <w:qFormat/>
    <w:rPr>
      <w:sz w:val="20"/>
      <w:szCs w:val="20"/>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link w:val="TekstpodstawowyZnak"/>
    <w:uiPriority w:val="1"/>
    <w:qFormat/>
    <w:rsid w:val="00292407"/>
    <w:pPr>
      <w:widowControl w:val="false"/>
      <w:spacing w:lineRule="auto" w:line="240" w:before="0" w:after="0"/>
    </w:pPr>
    <w:rPr>
      <w:rFonts w:ascii="Calibri" w:hAnsi="Calibri" w:eastAsia="Calibri" w:cs="Calibri"/>
      <w:lang w:val="en-US"/>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BalloonText">
    <w:name w:val="Balloon Text"/>
    <w:basedOn w:val="Normal"/>
    <w:link w:val="TekstdymkaZnak"/>
    <w:uiPriority w:val="99"/>
    <w:semiHidden/>
    <w:unhideWhenUsed/>
    <w:qFormat/>
    <w:rsid w:val="001f3177"/>
    <w:pPr>
      <w:spacing w:lineRule="auto" w:line="240" w:before="0" w:after="0"/>
    </w:pPr>
    <w:rPr>
      <w:rFonts w:ascii="Tahoma" w:hAnsi="Tahoma" w:cs="Tahoma"/>
      <w:sz w:val="16"/>
      <w:szCs w:val="16"/>
    </w:rPr>
  </w:style>
  <w:style w:type="paragraph" w:styleId="NoSpacing">
    <w:name w:val="No Spacing"/>
    <w:uiPriority w:val="1"/>
    <w:qFormat/>
    <w:rsid w:val="001f3177"/>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paragraph" w:styleId="Przypiskocowy">
    <w:name w:val="Endnote Text"/>
    <w:basedOn w:val="Normal"/>
    <w:link w:val="TekstprzypisukocowegoZnak"/>
    <w:uiPriority w:val="99"/>
    <w:semiHidden/>
    <w:unhideWhenUsed/>
    <w:rsid w:val="007d27d4"/>
    <w:pPr>
      <w:spacing w:lineRule="auto" w:line="240" w:before="0" w:after="0"/>
    </w:pPr>
    <w:rPr>
      <w:sz w:val="20"/>
      <w:szCs w:val="20"/>
    </w:rPr>
  </w:style>
  <w:style w:type="paragraph" w:styleId="Tytu">
    <w:name w:val="Title"/>
    <w:basedOn w:val="Normal"/>
    <w:next w:val="Normal"/>
    <w:link w:val="TytuZnak"/>
    <w:qFormat/>
    <w:rsid w:val="00114f7a"/>
    <w:pPr>
      <w:pBdr>
        <w:bottom w:val="single" w:sz="8" w:space="4" w:color="4F81BD"/>
      </w:pBdr>
      <w:spacing w:lineRule="auto" w:line="240" w:before="0" w:after="300"/>
      <w:contextualSpacing/>
    </w:pPr>
    <w:rPr>
      <w:rFonts w:ascii="Cambria" w:hAnsi="Cambria" w:eastAsia="" w:cs="" w:asciiTheme="majorHAnsi" w:cstheme="majorBidi" w:eastAsiaTheme="majorEastAsia" w:hAnsiTheme="majorHAnsi"/>
      <w:color w:val="17365D" w:themeColor="text2" w:themeShade="bf"/>
      <w:spacing w:val="5"/>
      <w:kern w:val="2"/>
      <w:sz w:val="52"/>
      <w:szCs w:val="52"/>
    </w:rPr>
  </w:style>
  <w:style w:type="paragraph" w:styleId="ListParagraph">
    <w:name w:val="List Paragraph"/>
    <w:basedOn w:val="Normal"/>
    <w:uiPriority w:val="34"/>
    <w:qFormat/>
    <w:rsid w:val="00823d70"/>
    <w:pPr>
      <w:spacing w:before="0" w:after="200"/>
      <w:ind w:left="720" w:hanging="0"/>
      <w:contextualSpacing/>
    </w:pPr>
    <w:rPr/>
  </w:style>
  <w:style w:type="paragraph" w:styleId="TableParagraph" w:customStyle="1">
    <w:name w:val="Table Paragraph"/>
    <w:basedOn w:val="Normal"/>
    <w:uiPriority w:val="1"/>
    <w:qFormat/>
    <w:rsid w:val="00292407"/>
    <w:pPr>
      <w:widowControl w:val="false"/>
      <w:spacing w:lineRule="auto" w:line="240" w:before="0" w:after="0"/>
    </w:pPr>
    <w:rPr>
      <w:rFonts w:ascii="Calibri" w:hAnsi="Calibri" w:eastAsia="Calibri" w:cs="Calibri"/>
      <w:lang w:val="en-US"/>
    </w:rPr>
  </w:style>
  <w:style w:type="paragraph" w:styleId="Default" w:customStyle="1">
    <w:name w:val="Default"/>
    <w:qFormat/>
    <w:rsid w:val="00292407"/>
    <w:pPr>
      <w:widowControl/>
      <w:bidi w:val="0"/>
      <w:spacing w:lineRule="auto" w:line="240" w:before="0" w:after="0"/>
      <w:jc w:val="left"/>
    </w:pPr>
    <w:rPr>
      <w:rFonts w:ascii="Calibri" w:hAnsi="Calibri" w:cs="Calibri" w:eastAsia="Calibri"/>
      <w:color w:val="000000"/>
      <w:kern w:val="0"/>
      <w:sz w:val="24"/>
      <w:szCs w:val="24"/>
      <w:lang w:val="pl-PL" w:eastAsia="en-US" w:bidi="ar-SA"/>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table" w:styleId="Tabela-Siatka">
    <w:name w:val="Table Grid"/>
    <w:basedOn w:val="Standardowy"/>
    <w:uiPriority w:val="59"/>
    <w:rsid w:val="00d7236a"/>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Normal">
    <w:name w:val="Table Normal"/>
    <w:uiPriority w:val="2"/>
    <w:semiHidden/>
    <w:unhideWhenUsed/>
    <w:qFormat/>
    <w:rsid w:val="00292407"/>
    <w:pPr>
      <w:spacing w:after="0" w:line="240" w:lineRule="auto"/>
    </w:pPr>
    <w:rPr>
      <w:lang w:val="en-US"/>
    </w:rPr>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png"/><Relationship Id="rId20" Type="http://schemas.microsoft.com/office/2007/relationships/hdphoto" Target="media/hdphoto1.wdp"/><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pn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pn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png"/><Relationship Id="rId34" Type="http://schemas.openxmlformats.org/officeDocument/2006/relationships/hyperlink" Target="mailto:biuro@dambat.pl" TargetMode="External"/><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numbering" Target="numbering.xml"/><Relationship Id="rId38" Type="http://schemas.openxmlformats.org/officeDocument/2006/relationships/fontTable" Target="fontTable.xml"/><Relationship Id="rId39" Type="http://schemas.openxmlformats.org/officeDocument/2006/relationships/settings" Target="settings.xml"/><Relationship Id="rId40" Type="http://schemas.openxmlformats.org/officeDocument/2006/relationships/theme" Target="theme/theme1.xml"/><Relationship Id="rId41" Type="http://schemas.openxmlformats.org/officeDocument/2006/relationships/customXml" Target="../customXml/item1.xml"/>
</Relationships>
</file>

<file path=word/_rels/numbering.xml.rels><?xml version="1.0" encoding="UTF-8"?>
<Relationships xmlns="http://schemas.openxmlformats.org/package/2006/relationships"><Relationship Id="rId1" Type="http://schemas.openxmlformats.org/officeDocument/2006/relationships/image" Target="media/image34.jpe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C55B-5A3C-4F07-90EC-067F31F51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LibreOffice/6.2.0.3$Windows_x86 LibreOffice_project/98c6a8a1c6c7b144ce3cc729e34964b47ce25d62</Application>
  <Pages>10</Pages>
  <Words>3042</Words>
  <Characters>16899</Characters>
  <CharactersWithSpaces>19620</CharactersWithSpaces>
  <Paragraphs>293</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2019-05-15T15:25:00Z</dcterms:created>
  <dc:creator>Adam Jastrzębski</dc:creator>
  <dc:description/>
  <dc:language>pl-PL</dc:language>
  <cp:lastModifiedBy/>
  <cp:lastPrinted>2017-05-01T09:38:00Z</cp:lastPrinted>
  <dcterms:modified xsi:type="dcterms:W3CDTF">2019-09-24T11:22:17Z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